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01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8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关于加大政府引导与企业实践一体化协作大力推行“黔货出山”网格化、平台化建设的建议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主办：州商务局    会办：州投资促进局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州市监局、州农业农村局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黔东南州工商业联合会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/>
                <w:kern w:val="0"/>
                <w:sz w:val="24"/>
              </w:rPr>
              <w:t>州工商联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0855-8222390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为了进一步贯彻落实省州关于推进“黔货出山”的战略决策部署，拓展“黔货出山”及优质农产品“泉涌”</w:t>
      </w:r>
      <w:r>
        <w:fldChar w:fldCharType="begin"/>
      </w:r>
      <w:r>
        <w:instrText xml:space="preserve"> HYPERLINK "http://berfol.com/product.php?name=gc"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新渠道，不断优化合作交流，着力开拓市场，提升优质产品知名度和竞争力，助推黔东南经济社会可持续、高效益、高质量发展，全州上下在“黔货出山”战略的推行落实上下了功夫、做了努力，取得了一定的成果。</w:t>
      </w:r>
    </w:p>
    <w:p>
      <w:pPr>
        <w:spacing w:line="560" w:lineRule="exact"/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一、全州黔货出山的现状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黔山好货走出去的渠道逐步增多，平台多元但收效不佳；黔货在包装升级、营销模式上能力偏弱；黔货地区品牌的影响力不够，知名度需要提升，在公共品牌塑造上需要政府引导和企业的主动参与；以地区为代表的一县一品、一企一品开发上，定位模糊，需要政企通力合作，形成核心竞争产品；生产企业对外交流机会少，缺少对接形式和窗口，无法看到同行业中的先进生产管理经营理念，固封状态制约了企业发展的提档升级。</w:t>
      </w:r>
    </w:p>
    <w:p>
      <w:pPr>
        <w:spacing w:line="560" w:lineRule="exact"/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二、改善当前现状的建议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是黔货包装融入少数民族元素，将高校艺术设计类专业师生纳入其中，融合文化注入产品，营销上做好地域网红培养，吸纳扩大忠实客户群体，做好群众营销、精英团队的普惠式营销，线上线下，立体多维共推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二是以政府为主，做好地域品牌打造、宣推、保护工作，形成品牌影响力；将品牌推广做为产品推广的核心，品牌带动、品牌影响、品牌植入，品牌产品的生产企业规模化、体系化构建与筛选。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三是各县市以政府为主导，做好黔货出山一县一品、一企一品的遴选培优，以政策支持、资金扶持、人才注入、平台对接的方式，尽快使县域核心代表农产品形成竞争力。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四是政府考察招商引资中，带着企业一同走出去，在交流中学习，打通交流通道，以企引企，促进企业产品出得去，也能进得来。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62089"/>
    <w:rsid w:val="002F6404"/>
    <w:rsid w:val="00372D70"/>
    <w:rsid w:val="004C39EB"/>
    <w:rsid w:val="004D0222"/>
    <w:rsid w:val="004E6BC5"/>
    <w:rsid w:val="00507FB8"/>
    <w:rsid w:val="00551F39"/>
    <w:rsid w:val="00554776"/>
    <w:rsid w:val="00604B00"/>
    <w:rsid w:val="00654375"/>
    <w:rsid w:val="006C5B85"/>
    <w:rsid w:val="007055DB"/>
    <w:rsid w:val="007D1DFD"/>
    <w:rsid w:val="008026CA"/>
    <w:rsid w:val="00840276"/>
    <w:rsid w:val="008A6967"/>
    <w:rsid w:val="008E32D7"/>
    <w:rsid w:val="008E5289"/>
    <w:rsid w:val="009823CB"/>
    <w:rsid w:val="00A351EC"/>
    <w:rsid w:val="00A75BD7"/>
    <w:rsid w:val="00A94399"/>
    <w:rsid w:val="00A97C93"/>
    <w:rsid w:val="00C76ECC"/>
    <w:rsid w:val="00D123BF"/>
    <w:rsid w:val="00DD129A"/>
    <w:rsid w:val="00DE03D9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4857FB"/>
    <w:rsid w:val="5E9F6D2C"/>
    <w:rsid w:val="61895CCF"/>
    <w:rsid w:val="640D7930"/>
    <w:rsid w:val="66F35DD9"/>
    <w:rsid w:val="6854075C"/>
    <w:rsid w:val="69A37ABB"/>
    <w:rsid w:val="70A779A4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962</Words>
  <Characters>1008</Characters>
  <Lines>8</Lines>
  <Paragraphs>2</Paragraphs>
  <TotalTime>1</TotalTime>
  <ScaleCrop>false</ScaleCrop>
  <LinksUpToDate>false</LinksUpToDate>
  <CharactersWithSpaces>1047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2022-01-04T08:17:00Z</dcterms:created>
  <dc:creator>Administrator</dc:creator>
  <cp:lastModifiedBy>丘丘</cp:lastModifiedBy>
  <cp:lastPrinted>2022-01-08T09:35:00Z</cp:lastPrinted>
  <dcterms:modified xsi:type="dcterms:W3CDTF">2022-03-29T03:28:18Z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