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3"/>
          <w:rFonts w:ascii="黑体" w:eastAsia="黑体"/>
          <w:sz w:val="44"/>
          <w:szCs w:val="44"/>
        </w:rPr>
      </w:pPr>
      <w:r>
        <w:rPr>
          <w:rStyle w:val="11"/>
          <w:rFonts w:ascii="黑体" w:eastAsia="黑体" w:cs="宋体"/>
          <w:sz w:val="44"/>
          <w:szCs w:val="44"/>
        </w:rPr>
        <w:t>中国人民政治协商会议</w:t>
      </w:r>
    </w:p>
    <w:p>
      <w:pPr>
        <w:pStyle w:val="18"/>
        <w:spacing w:before="0" w:beforeAutospacing="0" w:after="0" w:afterAutospacing="0" w:line="600" w:lineRule="exact"/>
        <w:jc w:val="center"/>
        <w:rPr>
          <w:rStyle w:val="13"/>
          <w:rFonts w:hint="eastAsia"/>
          <w:sz w:val="44"/>
          <w:szCs w:val="44"/>
        </w:rPr>
      </w:pPr>
      <w:r>
        <w:rPr>
          <w:rStyle w:val="13"/>
          <w:sz w:val="44"/>
          <w:szCs w:val="44"/>
        </w:rPr>
        <w:t>黔东南苗族侗族自治州委员会</w:t>
      </w:r>
    </w:p>
    <w:p>
      <w:pPr>
        <w:pStyle w:val="18"/>
        <w:spacing w:before="0" w:beforeAutospacing="0" w:after="0" w:afterAutospacing="0" w:line="600" w:lineRule="exact"/>
        <w:jc w:val="center"/>
        <w:rPr>
          <w:rStyle w:val="13"/>
          <w:rFonts w:hint="eastAsia"/>
          <w:sz w:val="44"/>
          <w:szCs w:val="44"/>
        </w:rPr>
      </w:pPr>
      <w:r>
        <w:rPr>
          <w:rStyle w:val="13"/>
          <w:sz w:val="44"/>
          <w:szCs w:val="44"/>
        </w:rPr>
        <w:t>提</w:t>
      </w:r>
      <w:r>
        <w:rPr>
          <w:rStyle w:val="13"/>
          <w:rFonts w:hint="eastAsia"/>
          <w:sz w:val="44"/>
          <w:szCs w:val="44"/>
        </w:rPr>
        <w:t xml:space="preserve">   </w:t>
      </w:r>
      <w:r>
        <w:rPr>
          <w:rStyle w:val="13"/>
          <w:sz w:val="44"/>
          <w:szCs w:val="44"/>
        </w:rPr>
        <w:t>案</w:t>
      </w:r>
    </w:p>
    <w:p>
      <w:pPr>
        <w:spacing w:line="320" w:lineRule="exact"/>
        <w:jc w:val="center"/>
        <w:textAlignment w:val="top"/>
        <w:rPr>
          <w:rStyle w:val="13"/>
          <w:rFonts w:hint="eastAsia" w:ascii="宋体" w:hAnsi="宋体"/>
          <w:kern w:val="0"/>
          <w:sz w:val="24"/>
        </w:rPr>
      </w:pPr>
    </w:p>
    <w:p>
      <w:pPr>
        <w:spacing w:line="320" w:lineRule="exact"/>
        <w:jc w:val="center"/>
        <w:textAlignment w:val="top"/>
        <w:rPr>
          <w:rStyle w:val="13"/>
          <w:rFonts w:hint="eastAsia" w:ascii="宋体" w:hAnsi="宋体"/>
          <w:kern w:val="0"/>
          <w:sz w:val="24"/>
        </w:rPr>
      </w:pPr>
    </w:p>
    <w:p>
      <w:pPr>
        <w:spacing w:line="760" w:lineRule="exact"/>
        <w:jc w:val="both"/>
        <w:textAlignment w:val="top"/>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3"/>
          <w:rFonts w:hint="default" w:ascii="宋体" w:hAnsi="宋体" w:eastAsia="宋体"/>
          <w:kern w:val="0"/>
          <w:sz w:val="24"/>
          <w:lang w:val="en-US" w:eastAsia="zh-CN"/>
        </w:rPr>
      </w:pPr>
      <w:r>
        <w:rPr>
          <w:rStyle w:val="13"/>
          <w:rFonts w:ascii="宋体" w:hAnsi="宋体"/>
          <w:kern w:val="0"/>
          <w:sz w:val="24"/>
        </w:rPr>
        <w:t>第十</w:t>
      </w:r>
      <w:r>
        <w:rPr>
          <w:rStyle w:val="13"/>
          <w:rFonts w:hint="eastAsia" w:ascii="宋体" w:hAnsi="宋体"/>
          <w:kern w:val="0"/>
          <w:sz w:val="24"/>
          <w:lang w:val="en-US" w:eastAsia="zh-CN"/>
        </w:rPr>
        <w:t>三</w:t>
      </w:r>
      <w:r>
        <w:rPr>
          <w:rStyle w:val="13"/>
          <w:rFonts w:ascii="宋体" w:hAnsi="宋体"/>
          <w:kern w:val="0"/>
          <w:sz w:val="24"/>
        </w:rPr>
        <w:t>届第</w:t>
      </w:r>
      <w:r>
        <w:rPr>
          <w:rStyle w:val="13"/>
          <w:rFonts w:hint="eastAsia" w:ascii="宋体" w:hAnsi="宋体"/>
          <w:kern w:val="0"/>
          <w:sz w:val="24"/>
          <w:lang w:val="en-US" w:eastAsia="zh-CN"/>
        </w:rPr>
        <w:t>一</w:t>
      </w:r>
      <w:r>
        <w:rPr>
          <w:rStyle w:val="13"/>
          <w:rFonts w:ascii="宋体" w:hAnsi="宋体"/>
          <w:kern w:val="0"/>
          <w:sz w:val="24"/>
        </w:rPr>
        <w:t>次会议　       　第</w:t>
      </w:r>
      <w:r>
        <w:rPr>
          <w:rStyle w:val="13"/>
          <w:rFonts w:hint="eastAsia" w:ascii="宋体" w:hAnsi="宋体"/>
          <w:kern w:val="0"/>
          <w:sz w:val="24"/>
          <w:lang w:val="en-US" w:eastAsia="zh-CN"/>
        </w:rPr>
        <w:t>021</w:t>
      </w:r>
      <w:bookmarkStart w:id="0" w:name="_GoBack"/>
      <w:bookmarkEnd w:id="0"/>
      <w:r>
        <w:rPr>
          <w:rStyle w:val="13"/>
          <w:rFonts w:ascii="宋体" w:hAnsi="宋体"/>
          <w:kern w:val="0"/>
          <w:sz w:val="24"/>
        </w:rPr>
        <w:t xml:space="preserve">号　    </w:t>
      </w:r>
      <w:r>
        <w:rPr>
          <w:rStyle w:val="13"/>
          <w:rFonts w:hint="eastAsia" w:ascii="宋体" w:hAnsi="宋体"/>
          <w:kern w:val="0"/>
          <w:sz w:val="24"/>
        </w:rPr>
        <w:t xml:space="preserve">    </w:t>
      </w:r>
      <w:r>
        <w:rPr>
          <w:rStyle w:val="13"/>
          <w:rFonts w:hint="eastAsia" w:ascii="宋体" w:hAnsi="宋体"/>
          <w:kern w:val="0"/>
          <w:sz w:val="24"/>
          <w:lang w:val="en-US" w:eastAsia="zh-CN"/>
        </w:rPr>
        <w:t xml:space="preserve"> 类别：政治建设类     </w:t>
      </w:r>
    </w:p>
    <w:p>
      <w:pPr>
        <w:spacing w:line="320" w:lineRule="exact"/>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9"/>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案</w:t>
            </w:r>
            <w:r>
              <w:rPr>
                <w:rStyle w:val="13"/>
                <w:rFonts w:ascii="宋体" w:hAnsi="宋体" w:eastAsia="黑体" w:cs="宋体"/>
                <w:b/>
                <w:bCs/>
                <w:kern w:val="0"/>
                <w:sz w:val="24"/>
              </w:rPr>
              <w:t>  </w:t>
            </w:r>
            <w:r>
              <w:rPr>
                <w:rStyle w:val="13"/>
                <w:rFonts w:ascii="黑体" w:hAnsi="宋体" w:eastAsia="黑体" w:cs="宋体"/>
                <w:b/>
                <w:bCs/>
                <w:kern w:val="0"/>
                <w:sz w:val="24"/>
              </w:rPr>
              <w:t>由</w:t>
            </w:r>
            <w:r>
              <w:rPr>
                <w:rStyle w:val="13"/>
                <w:rFonts w:ascii="宋体" w:hAnsi="宋体" w:cs="宋体"/>
                <w:b/>
                <w:bCs/>
                <w:kern w:val="0"/>
                <w:sz w:val="24"/>
              </w:rPr>
              <w:t>：</w:t>
            </w:r>
          </w:p>
        </w:tc>
        <w:tc>
          <w:tcPr>
            <w:tcW w:w="6797" w:type="dxa"/>
            <w:gridSpan w:val="3"/>
            <w:vAlign w:val="center"/>
          </w:tcPr>
          <w:p>
            <w:pPr>
              <w:jc w:val="left"/>
              <w:rPr>
                <w:rStyle w:val="13"/>
                <w:rFonts w:ascii="宋体" w:hAnsi="宋体" w:cs="宋体"/>
                <w:b/>
                <w:bCs/>
                <w:kern w:val="0"/>
                <w:sz w:val="24"/>
              </w:rPr>
            </w:pPr>
            <w:r>
              <w:rPr>
                <w:rFonts w:hint="eastAsia"/>
              </w:rPr>
              <w:t>关于加强村医培训提高基层医疗服务能力的建议</w:t>
            </w:r>
          </w:p>
        </w:tc>
      </w:tr>
      <w:tr>
        <w:tblPrEx>
          <w:tblCellMar>
            <w:top w:w="0" w:type="dxa"/>
            <w:left w:w="15" w:type="dxa"/>
            <w:bottom w:w="0" w:type="dxa"/>
            <w:right w:w="15" w:type="dxa"/>
          </w:tblCellMar>
        </w:tblPrEx>
        <w:tc>
          <w:tcPr>
            <w:tcW w:w="1753" w:type="dxa"/>
            <w:vAlign w:val="center"/>
          </w:tcPr>
          <w:p>
            <w:pPr>
              <w:jc w:val="left"/>
              <w:rPr>
                <w:rStyle w:val="13"/>
                <w:rFonts w:ascii="宋体" w:hAnsi="宋体"/>
                <w:kern w:val="0"/>
                <w:sz w:val="24"/>
              </w:rPr>
            </w:pPr>
            <w:r>
              <w:rPr>
                <w:rStyle w:val="13"/>
                <w:rFonts w:ascii="黑体" w:hAnsi="宋体" w:eastAsia="黑体" w:cs="宋体"/>
                <w:b/>
                <w:bCs/>
                <w:kern w:val="0"/>
                <w:sz w:val="24"/>
              </w:rPr>
              <w:t>审查意见</w:t>
            </w:r>
            <w:r>
              <w:rPr>
                <w:rStyle w:val="13"/>
                <w:rFonts w:ascii="宋体" w:hAnsi="宋体" w:cs="宋体"/>
                <w:b/>
                <w:bCs/>
                <w:kern w:val="0"/>
                <w:sz w:val="24"/>
              </w:rPr>
              <w:t>：</w:t>
            </w:r>
          </w:p>
        </w:tc>
        <w:tc>
          <w:tcPr>
            <w:tcW w:w="6797" w:type="dxa"/>
            <w:gridSpan w:val="3"/>
            <w:vAlign w:val="center"/>
          </w:tcPr>
          <w:p>
            <w:pPr>
              <w:jc w:val="left"/>
              <w:rPr>
                <w:rStyle w:val="13"/>
                <w:rFonts w:hint="default" w:ascii="宋体" w:hAnsi="宋体"/>
                <w:kern w:val="0"/>
                <w:sz w:val="24"/>
                <w:lang w:val="en-US" w:eastAsia="zh-CN"/>
              </w:rPr>
            </w:pPr>
            <w:r>
              <w:rPr>
                <w:rStyle w:val="13"/>
                <w:rFonts w:hint="eastAsia" w:ascii="宋体" w:hAnsi="宋体"/>
                <w:kern w:val="0"/>
                <w:sz w:val="24"/>
                <w:lang w:eastAsia="zh-CN"/>
              </w:rPr>
              <w:t>主办：州卫健局</w:t>
            </w:r>
            <w:r>
              <w:rPr>
                <w:rStyle w:val="13"/>
                <w:rFonts w:hint="eastAsia" w:ascii="宋体" w:hAnsi="宋体"/>
                <w:kern w:val="0"/>
                <w:sz w:val="24"/>
                <w:lang w:val="en-US" w:eastAsia="zh-CN"/>
              </w:rPr>
              <w:t xml:space="preserve">  会办：</w:t>
            </w:r>
          </w:p>
        </w:tc>
      </w:tr>
      <w:tr>
        <w:tblPrEx>
          <w:tblCellMar>
            <w:top w:w="0" w:type="dxa"/>
            <w:left w:w="15" w:type="dxa"/>
            <w:bottom w:w="0" w:type="dxa"/>
            <w:right w:w="15" w:type="dxa"/>
          </w:tblCellMar>
        </w:tblPrEx>
        <w:tc>
          <w:tcPr>
            <w:tcW w:w="1753" w:type="dxa"/>
            <w:vAlign w:val="center"/>
          </w:tcPr>
          <w:p>
            <w:pPr>
              <w:jc w:val="left"/>
              <w:rPr>
                <w:rStyle w:val="13"/>
                <w:rFonts w:ascii="黑体" w:hAnsi="宋体" w:eastAsia="黑体"/>
                <w:kern w:val="0"/>
                <w:sz w:val="24"/>
              </w:rPr>
            </w:pPr>
            <w:r>
              <w:rPr>
                <w:rStyle w:val="13"/>
                <w:rFonts w:ascii="黑体" w:hAnsi="宋体" w:eastAsia="黑体" w:cs="宋体"/>
                <w:b/>
                <w:bCs/>
                <w:kern w:val="0"/>
                <w:sz w:val="24"/>
              </w:rPr>
              <w:t>提</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案</w:t>
            </w:r>
            <w:r>
              <w:rPr>
                <w:rStyle w:val="13"/>
                <w:rFonts w:hint="eastAsia" w:ascii="黑体" w:hAnsi="宋体" w:eastAsia="黑体" w:cs="宋体"/>
                <w:b/>
                <w:bCs/>
                <w:kern w:val="0"/>
                <w:sz w:val="24"/>
                <w:lang w:val="en-US" w:eastAsia="zh-CN"/>
              </w:rPr>
              <w:t xml:space="preserve"> </w:t>
            </w:r>
            <w:r>
              <w:rPr>
                <w:rStyle w:val="13"/>
                <w:rFonts w:ascii="黑体" w:hAnsi="宋体" w:eastAsia="黑体" w:cs="宋体"/>
                <w:b/>
                <w:bCs/>
                <w:kern w:val="0"/>
                <w:sz w:val="24"/>
              </w:rPr>
              <w:t>人</w:t>
            </w:r>
            <w:r>
              <w:rPr>
                <w:rStyle w:val="13"/>
                <w:rFonts w:ascii="宋体" w:hAnsi="宋体" w:eastAsia="黑体" w:cs="宋体"/>
                <w:b/>
                <w:bCs/>
                <w:kern w:val="0"/>
                <w:sz w:val="24"/>
              </w:rPr>
              <w:t>：</w:t>
            </w:r>
          </w:p>
        </w:tc>
        <w:tc>
          <w:tcPr>
            <w:tcW w:w="3872" w:type="dxa"/>
            <w:vAlign w:val="center"/>
          </w:tcPr>
          <w:p>
            <w:pPr>
              <w:jc w:val="left"/>
              <w:rPr>
                <w:rStyle w:val="13"/>
                <w:rFonts w:ascii="宋体" w:hAnsi="宋体"/>
                <w:kern w:val="0"/>
                <w:sz w:val="24"/>
              </w:rPr>
            </w:pPr>
            <w:r>
              <w:rPr>
                <w:rStyle w:val="13"/>
                <w:rFonts w:ascii="宋体" w:hAnsi="宋体" w:cs="宋体"/>
                <w:b/>
                <w:bCs/>
                <w:kern w:val="0"/>
                <w:sz w:val="24"/>
              </w:rPr>
              <w:t>通讯地址</w:t>
            </w:r>
          </w:p>
        </w:tc>
        <w:tc>
          <w:tcPr>
            <w:tcW w:w="1440" w:type="dxa"/>
            <w:vAlign w:val="center"/>
          </w:tcPr>
          <w:p>
            <w:pPr>
              <w:jc w:val="left"/>
              <w:rPr>
                <w:rStyle w:val="13"/>
                <w:rFonts w:ascii="宋体" w:hAnsi="宋体"/>
                <w:kern w:val="0"/>
                <w:sz w:val="24"/>
              </w:rPr>
            </w:pPr>
            <w:r>
              <w:rPr>
                <w:rStyle w:val="13"/>
                <w:rFonts w:ascii="宋体" w:hAnsi="宋体" w:cs="宋体"/>
                <w:b/>
                <w:bCs/>
                <w:kern w:val="0"/>
                <w:sz w:val="24"/>
              </w:rPr>
              <w:t>邮政编码</w:t>
            </w:r>
          </w:p>
        </w:tc>
        <w:tc>
          <w:tcPr>
            <w:tcW w:w="1485" w:type="dxa"/>
            <w:vAlign w:val="center"/>
          </w:tcPr>
          <w:p>
            <w:pPr>
              <w:jc w:val="left"/>
              <w:rPr>
                <w:rStyle w:val="13"/>
                <w:rFonts w:ascii="宋体" w:hAnsi="宋体"/>
                <w:kern w:val="0"/>
                <w:sz w:val="24"/>
              </w:rPr>
            </w:pPr>
            <w:r>
              <w:rPr>
                <w:rStyle w:val="13"/>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4"/>
              <w:ind w:left="0" w:leftChars="0" w:firstLine="0" w:firstLineChars="0"/>
              <w:rPr>
                <w:rFonts w:hint="eastAsia" w:eastAsia="宋体"/>
                <w:lang w:eastAsia="zh-CN"/>
              </w:rPr>
            </w:pPr>
            <w:r>
              <w:rPr>
                <w:rFonts w:hint="eastAsia"/>
              </w:rPr>
              <w:t>州政协教科卫体与港</w:t>
            </w:r>
            <w:r>
              <w:rPr>
                <w:rFonts w:hint="eastAsia"/>
                <w:lang w:eastAsia="zh-CN"/>
              </w:rPr>
              <w:t>澳</w:t>
            </w:r>
            <w:r>
              <w:rPr>
                <w:rFonts w:hint="eastAsia"/>
              </w:rPr>
              <w:t>台侨委员会</w:t>
            </w:r>
          </w:p>
        </w:tc>
        <w:tc>
          <w:tcPr>
            <w:tcW w:w="3872" w:type="dxa"/>
            <w:vAlign w:val="center"/>
          </w:tcPr>
          <w:p>
            <w:pPr>
              <w:jc w:val="left"/>
              <w:rPr>
                <w:rStyle w:val="13"/>
                <w:rFonts w:hint="eastAsia" w:ascii="宋体" w:hAnsi="宋体" w:eastAsia="宋体"/>
                <w:kern w:val="0"/>
                <w:sz w:val="24"/>
                <w:lang w:val="en-US" w:eastAsia="zh-CN"/>
              </w:rPr>
            </w:pPr>
            <w:r>
              <w:rPr>
                <w:rFonts w:hint="eastAsia"/>
                <w:lang w:eastAsia="zh-CN"/>
              </w:rPr>
              <w:t>州政协</w:t>
            </w:r>
          </w:p>
        </w:tc>
        <w:tc>
          <w:tcPr>
            <w:tcW w:w="1440" w:type="dxa"/>
            <w:vAlign w:val="center"/>
          </w:tcPr>
          <w:p>
            <w:pPr>
              <w:jc w:val="left"/>
              <w:rPr>
                <w:rStyle w:val="13"/>
                <w:rFonts w:hint="default" w:ascii="宋体" w:hAnsi="宋体" w:eastAsia="宋体"/>
                <w:kern w:val="0"/>
                <w:sz w:val="24"/>
                <w:lang w:val="en-US" w:eastAsia="zh-CN"/>
              </w:rPr>
            </w:pPr>
            <w:r>
              <w:rPr>
                <w:rStyle w:val="13"/>
                <w:rFonts w:hint="eastAsia" w:ascii="宋体" w:hAnsi="宋体"/>
                <w:kern w:val="0"/>
                <w:sz w:val="24"/>
                <w:lang w:val="en-US" w:eastAsia="zh-CN"/>
              </w:rPr>
              <w:t>556000</w:t>
            </w:r>
          </w:p>
        </w:tc>
        <w:tc>
          <w:tcPr>
            <w:tcW w:w="1485" w:type="dxa"/>
            <w:vAlign w:val="center"/>
          </w:tcPr>
          <w:p>
            <w:pPr>
              <w:jc w:val="left"/>
              <w:rPr>
                <w:rFonts w:hint="default"/>
                <w:lang w:val="en-US" w:eastAsia="zh-CN"/>
              </w:rPr>
            </w:pPr>
            <w:r>
              <w:rPr>
                <w:rFonts w:hint="eastAsia"/>
              </w:rPr>
              <w:t>13885573333</w:t>
            </w:r>
          </w:p>
        </w:tc>
      </w:tr>
      <w:tr>
        <w:tblPrEx>
          <w:tblCellMar>
            <w:top w:w="0" w:type="dxa"/>
            <w:left w:w="15" w:type="dxa"/>
            <w:bottom w:w="0" w:type="dxa"/>
            <w:right w:w="15" w:type="dxa"/>
          </w:tblCellMar>
        </w:tblPrEx>
        <w:tc>
          <w:tcPr>
            <w:tcW w:w="1753" w:type="dxa"/>
            <w:vAlign w:val="center"/>
          </w:tcPr>
          <w:p>
            <w:pPr>
              <w:jc w:val="left"/>
              <w:rPr>
                <w:rStyle w:val="13"/>
                <w:rFonts w:hint="eastAsia" w:ascii="宋体" w:hAnsi="宋体" w:eastAsia="宋体"/>
                <w:kern w:val="0"/>
                <w:sz w:val="24"/>
                <w:lang w:eastAsia="zh-CN"/>
              </w:rPr>
            </w:pPr>
            <w:r>
              <w:rPr>
                <w:rStyle w:val="13"/>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3"/>
                <w:rFonts w:hint="eastAsia" w:ascii="宋体" w:hAnsi="宋体"/>
                <w:kern w:val="0"/>
                <w:sz w:val="24"/>
                <w:lang w:val="en-US" w:eastAsia="zh-CN"/>
              </w:rPr>
            </w:pPr>
            <w:r>
              <w:rPr>
                <w:rStyle w:val="13"/>
                <w:rFonts w:hint="eastAsia" w:ascii="宋体" w:hAnsi="宋体"/>
                <w:kern w:val="0"/>
                <w:sz w:val="24"/>
                <w:lang w:eastAsia="zh-CN"/>
              </w:rPr>
              <w:t>州委办秘书五科：</w:t>
            </w:r>
            <w:r>
              <w:rPr>
                <w:rStyle w:val="13"/>
                <w:rFonts w:hint="eastAsia" w:ascii="宋体" w:hAnsi="宋体"/>
                <w:kern w:val="0"/>
                <w:sz w:val="24"/>
                <w:lang w:val="en-US" w:eastAsia="zh-CN"/>
              </w:rPr>
              <w:t>8270060；</w:t>
            </w:r>
            <w:r>
              <w:rPr>
                <w:rStyle w:val="13"/>
                <w:rFonts w:hint="eastAsia" w:ascii="宋体" w:hAnsi="宋体"/>
                <w:kern w:val="0"/>
                <w:sz w:val="24"/>
                <w:lang w:eastAsia="zh-CN"/>
              </w:rPr>
              <w:t>州政府办建议提案科：</w:t>
            </w:r>
            <w:r>
              <w:rPr>
                <w:rStyle w:val="13"/>
                <w:rFonts w:hint="eastAsia" w:ascii="宋体" w:hAnsi="宋体"/>
                <w:kern w:val="0"/>
                <w:sz w:val="24"/>
                <w:lang w:val="en-US" w:eastAsia="zh-CN"/>
              </w:rPr>
              <w:t>8260016；</w:t>
            </w:r>
          </w:p>
          <w:p>
            <w:pPr>
              <w:jc w:val="left"/>
              <w:rPr>
                <w:rStyle w:val="13"/>
                <w:rFonts w:hint="default" w:ascii="宋体" w:hAnsi="宋体"/>
                <w:kern w:val="0"/>
                <w:sz w:val="24"/>
                <w:lang w:val="en-US"/>
              </w:rPr>
            </w:pPr>
            <w:r>
              <w:rPr>
                <w:rStyle w:val="13"/>
                <w:rFonts w:hint="eastAsia" w:ascii="宋体" w:hAnsi="宋体"/>
                <w:kern w:val="0"/>
                <w:sz w:val="24"/>
                <w:lang w:eastAsia="zh-CN"/>
              </w:rPr>
              <w:t>州政协提案委：</w:t>
            </w:r>
            <w:r>
              <w:rPr>
                <w:rStyle w:val="13"/>
                <w:rFonts w:hint="eastAsia" w:ascii="宋体" w:hAnsi="宋体"/>
                <w:kern w:val="0"/>
                <w:sz w:val="24"/>
                <w:lang w:val="en-US" w:eastAsia="zh-CN"/>
              </w:rPr>
              <w:t>8428866</w:t>
            </w:r>
            <w:r>
              <w:rPr>
                <w:rStyle w:val="13"/>
                <w:rFonts w:hint="eastAsia" w:ascii="宋体" w:hAnsi="宋体"/>
                <w:kern w:val="0"/>
                <w:sz w:val="24"/>
                <w:lang w:eastAsia="zh-CN"/>
              </w:rPr>
              <w:t>。</w:t>
            </w:r>
          </w:p>
        </w:tc>
      </w:tr>
    </w:tbl>
    <w:p>
      <w:pPr>
        <w:jc w:val="left"/>
        <w:rPr>
          <w:rStyle w:val="13"/>
          <w:rFonts w:ascii="宋体" w:hAnsi="宋体"/>
          <w:kern w:val="0"/>
          <w:sz w:val="24"/>
        </w:rPr>
      </w:pPr>
      <w:r>
        <w:rPr>
          <w:rStyle w:val="13"/>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baseline"/>
        <w:rPr>
          <w:rStyle w:val="13"/>
          <w:rFonts w:hint="eastAsia" w:ascii="仿宋_GB2312" w:hAnsi="宋体" w:eastAsia="仿宋_GB2312"/>
          <w:kern w:val="0"/>
          <w:sz w:val="32"/>
          <w:szCs w:val="32"/>
        </w:rPr>
      </w:pPr>
      <w:r>
        <w:rPr>
          <w:rStyle w:val="13"/>
          <w:rFonts w:hint="eastAsia" w:ascii="仿宋_GB2312" w:hAnsi="宋体" w:eastAsia="仿宋_GB2312"/>
          <w:kern w:val="0"/>
          <w:sz w:val="32"/>
          <w:szCs w:val="32"/>
        </w:rPr>
        <w:t>内容和办法</w:t>
      </w:r>
      <w:r>
        <w:rPr>
          <w:rStyle w:val="13"/>
          <w:rFonts w:hint="eastAsia" w:ascii="仿宋_GB2312" w:hAnsi="宋体" w:eastAsia="仿宋_GB2312"/>
          <w:kern w:val="0"/>
          <w:sz w:val="32"/>
          <w:szCs w:val="32"/>
          <w:lang w:eastAsia="zh-CN"/>
        </w:rPr>
        <w:t>：</w:t>
      </w:r>
    </w:p>
    <w:p>
      <w:pPr>
        <w:keepNext w:val="0"/>
        <w:keepLines w:val="0"/>
        <w:pageBreakBefore w:val="0"/>
        <w:widowControl/>
        <w:pBdr>
          <w:bottom w:val="single" w:color="FFFFFF" w:sz="4" w:space="31"/>
        </w:pBdr>
        <w:tabs>
          <w:tab w:val="left" w:pos="426"/>
          <w:tab w:val="left" w:pos="1440"/>
        </w:tabs>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承担着农民健康档案建立、健康教育、规划免疫、传染病报告、妇幼保健、慢性病管理等基本公共卫生服务，以及常见病、多发病的一般诊治和转诊服务，是落实新医改任务、维护农民健康的不可替代的基本依靠力量</w:t>
      </w:r>
      <w:r>
        <w:rPr>
          <w:rFonts w:hint="eastAsia" w:ascii="仿宋_GB2312" w:hAnsi="仿宋_GB2312" w:eastAsia="仿宋_GB2312" w:cs="仿宋_GB2312"/>
          <w:sz w:val="32"/>
          <w:szCs w:val="32"/>
          <w:lang w:eastAsia="zh-CN"/>
        </w:rPr>
        <w:t>，是乡村“一老一小”医防健康的守护人。但</w:t>
      </w:r>
      <w:r>
        <w:rPr>
          <w:rFonts w:hint="eastAsia" w:ascii="仿宋_GB2312" w:hAnsi="仿宋_GB2312" w:eastAsia="仿宋_GB2312" w:cs="仿宋_GB2312"/>
          <w:sz w:val="32"/>
          <w:szCs w:val="32"/>
        </w:rPr>
        <w:t>村医队伍</w:t>
      </w:r>
      <w:r>
        <w:rPr>
          <w:rFonts w:hint="eastAsia" w:ascii="仿宋_GB2312" w:hAnsi="仿宋_GB2312" w:eastAsia="仿宋_GB2312" w:cs="仿宋_GB2312"/>
          <w:sz w:val="32"/>
          <w:szCs w:val="32"/>
          <w:lang w:eastAsia="zh-CN"/>
        </w:rPr>
        <w:t>的医疗服务能力较弱，水平不一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据统计，</w:t>
      </w:r>
      <w:r>
        <w:rPr>
          <w:rFonts w:hint="eastAsia" w:ascii="仿宋_GB2312" w:hAnsi="仿宋_GB2312" w:eastAsia="仿宋_GB2312" w:cs="仿宋_GB2312"/>
          <w:sz w:val="32"/>
          <w:szCs w:val="32"/>
        </w:rPr>
        <w:t>全州乡村医生的年龄结构不合理，50岁以上有768人（其中60岁以上139人），占总人数3466人中的22%，乡村医生老龄化程度比较高。乡村医生学历偏低，</w:t>
      </w:r>
      <w:r>
        <w:rPr>
          <w:rFonts w:hint="eastAsia" w:ascii="仿宋_GB2312" w:hAnsi="仿宋_GB2312" w:eastAsia="仿宋_GB2312" w:cs="仿宋_GB2312"/>
          <w:sz w:val="32"/>
          <w:szCs w:val="32"/>
          <w:lang w:eastAsia="zh-CN"/>
        </w:rPr>
        <w:t>全州</w:t>
      </w:r>
      <w:r>
        <w:rPr>
          <w:rFonts w:hint="eastAsia" w:ascii="仿宋_GB2312" w:hAnsi="仿宋_GB2312" w:eastAsia="仿宋_GB2312" w:cs="仿宋_GB2312"/>
          <w:sz w:val="32"/>
          <w:szCs w:val="32"/>
        </w:rPr>
        <w:t>具有大专以上学历的村医</w:t>
      </w:r>
      <w:r>
        <w:rPr>
          <w:rFonts w:hint="eastAsia" w:ascii="仿宋_GB2312" w:hAnsi="仿宋_GB2312" w:eastAsia="仿宋_GB2312" w:cs="仿宋_GB2312"/>
          <w:sz w:val="32"/>
          <w:szCs w:val="32"/>
          <w:lang w:val="en-US" w:eastAsia="zh-CN"/>
        </w:rPr>
        <w:t>558名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只有35名本科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4个县没有一名本科毕业生；具有执业（助理）医师资格的乡村医生324人，只占9.34%；乡村医生服务水平和服务能力不足，部分村医不能开展诊疗活动，有的仪器不能操作，导致村卫生室医疗服务满足不了群众性看病就医需求。这种现状制约</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全州基层卫生网底建设</w:t>
      </w:r>
      <w:r>
        <w:rPr>
          <w:rFonts w:hint="eastAsia" w:ascii="仿宋_GB2312" w:hAnsi="仿宋_GB2312" w:eastAsia="仿宋_GB2312" w:cs="仿宋_GB2312"/>
          <w:sz w:val="32"/>
          <w:szCs w:val="32"/>
          <w:lang w:eastAsia="zh-CN"/>
        </w:rPr>
        <w:t>。</w:t>
      </w:r>
    </w:p>
    <w:p>
      <w:pPr>
        <w:keepNext w:val="0"/>
        <w:keepLines w:val="0"/>
        <w:pageBreakBefore w:val="0"/>
        <w:widowControl/>
        <w:pBdr>
          <w:bottom w:val="single" w:color="FFFFFF" w:sz="4" w:space="31"/>
        </w:pBdr>
        <w:tabs>
          <w:tab w:val="left" w:pos="426"/>
          <w:tab w:val="left" w:pos="1440"/>
        </w:tabs>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pBdr>
          <w:bottom w:val="single" w:color="FFFFFF" w:sz="4" w:space="31"/>
        </w:pBdr>
        <w:tabs>
          <w:tab w:val="left" w:pos="426"/>
          <w:tab w:val="left" w:pos="1440"/>
        </w:tabs>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加强学习培训，提升村医医疗服务能力。一是</w:t>
      </w:r>
      <w:r>
        <w:rPr>
          <w:rFonts w:hint="eastAsia" w:ascii="仿宋_GB2312" w:hAnsi="仿宋_GB2312" w:eastAsia="仿宋_GB2312" w:cs="仿宋_GB2312"/>
          <w:sz w:val="32"/>
          <w:szCs w:val="32"/>
          <w:lang w:eastAsia="zh-CN"/>
        </w:rPr>
        <w:t>卫生健康部门要加强村医</w:t>
      </w:r>
      <w:r>
        <w:rPr>
          <w:rFonts w:hint="eastAsia" w:ascii="仿宋_GB2312" w:hAnsi="仿宋_GB2312" w:eastAsia="仿宋_GB2312" w:cs="仿宋_GB2312"/>
          <w:sz w:val="32"/>
          <w:szCs w:val="32"/>
        </w:rPr>
        <w:t>业务培训，规范培训内容</w:t>
      </w:r>
      <w:r>
        <w:rPr>
          <w:rFonts w:hint="eastAsia" w:ascii="仿宋_GB2312" w:hAnsi="仿宋_GB2312" w:eastAsia="仿宋_GB2312" w:cs="仿宋_GB2312"/>
          <w:sz w:val="32"/>
          <w:szCs w:val="32"/>
          <w:lang w:eastAsia="zh-CN"/>
        </w:rPr>
        <w:t>，突出培训</w:t>
      </w:r>
      <w:r>
        <w:rPr>
          <w:rFonts w:hint="eastAsia" w:ascii="仿宋_GB2312" w:hAnsi="仿宋_GB2312" w:eastAsia="仿宋_GB2312" w:cs="仿宋_GB2312"/>
          <w:sz w:val="32"/>
          <w:szCs w:val="32"/>
        </w:rPr>
        <w:t>及重点，采取一对一帮扶模式，</w:t>
      </w:r>
      <w:r>
        <w:rPr>
          <w:rFonts w:hint="eastAsia" w:ascii="仿宋_GB2312" w:hAnsi="仿宋_GB2312" w:eastAsia="仿宋_GB2312" w:cs="仿宋_GB2312"/>
          <w:sz w:val="32"/>
          <w:szCs w:val="32"/>
          <w:lang w:eastAsia="zh-CN"/>
        </w:rPr>
        <w:t>安排城镇医疗机构指导</w:t>
      </w:r>
      <w:r>
        <w:rPr>
          <w:rFonts w:hint="eastAsia" w:ascii="仿宋_GB2312" w:hAnsi="仿宋_GB2312" w:eastAsia="仿宋_GB2312" w:cs="仿宋_GB2312"/>
          <w:sz w:val="32"/>
          <w:szCs w:val="32"/>
        </w:rPr>
        <w:t>村卫生室的业务技术，有效提升村卫生室医疗服务能力。二是</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激励机制，鼓励村医提升学历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提升乡村医生</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业务能力。</w:t>
      </w:r>
      <w:r>
        <w:rPr>
          <w:rFonts w:hint="eastAsia" w:ascii="仿宋_GB2312" w:hAnsi="仿宋_GB2312" w:eastAsia="仿宋_GB2312" w:cs="仿宋_GB2312"/>
          <w:sz w:val="32"/>
          <w:szCs w:val="32"/>
          <w:lang w:eastAsia="zh-CN"/>
        </w:rPr>
        <w:t>　</w:t>
      </w:r>
    </w:p>
    <w:p>
      <w:pPr>
        <w:keepNext w:val="0"/>
        <w:keepLines w:val="0"/>
        <w:pageBreakBefore w:val="0"/>
        <w:widowControl/>
        <w:numPr>
          <w:ilvl w:val="0"/>
          <w:numId w:val="1"/>
        </w:numPr>
        <w:pBdr>
          <w:bottom w:val="single" w:color="FFFFFF" w:sz="4" w:space="31"/>
        </w:pBdr>
        <w:tabs>
          <w:tab w:val="left" w:pos="426"/>
          <w:tab w:val="left" w:pos="1440"/>
        </w:tabs>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开展中医民族医药适宜技术</w:t>
      </w:r>
      <w:r>
        <w:rPr>
          <w:rFonts w:hint="eastAsia" w:ascii="仿宋_GB2312" w:hAnsi="仿宋_GB2312" w:eastAsia="仿宋_GB2312" w:cs="仿宋_GB2312"/>
          <w:sz w:val="32"/>
          <w:szCs w:val="32"/>
          <w:lang w:eastAsia="zh-CN"/>
        </w:rPr>
        <w:t>服务培训，</w:t>
      </w:r>
      <w:r>
        <w:rPr>
          <w:rFonts w:hint="eastAsia" w:ascii="仿宋_GB2312" w:hAnsi="仿宋_GB2312" w:eastAsia="仿宋_GB2312" w:cs="仿宋_GB2312"/>
          <w:sz w:val="32"/>
          <w:szCs w:val="32"/>
        </w:rPr>
        <w:t>解决基层医疗“看病难、看病贵、看病远”的实际困难。民族医药适宜技术具有“简、便、效、廉”的特点，在农村常见病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多发病的防治上</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着重要</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作用。民族医药技能、中医基础技能（艾灸、刮痧、耳穴治疗、推拿、按摩）简单易学，</w:t>
      </w:r>
      <w:r>
        <w:rPr>
          <w:rFonts w:hint="eastAsia" w:ascii="仿宋_GB2312" w:hAnsi="仿宋_GB2312" w:eastAsia="仿宋_GB2312" w:cs="仿宋_GB2312"/>
          <w:sz w:val="32"/>
          <w:szCs w:val="32"/>
          <w:lang w:eastAsia="zh-CN"/>
        </w:rPr>
        <w:t>实用性</w:t>
      </w:r>
      <w:r>
        <w:rPr>
          <w:rFonts w:hint="eastAsia" w:ascii="仿宋_GB2312" w:hAnsi="仿宋_GB2312" w:eastAsia="仿宋_GB2312" w:cs="仿宋_GB2312"/>
          <w:sz w:val="32"/>
          <w:szCs w:val="32"/>
        </w:rPr>
        <w:t>强，可以通过花小钱或无痛苦治疗的办法解决基层百姓疾苦。加大</w:t>
      </w:r>
      <w:r>
        <w:rPr>
          <w:rFonts w:hint="eastAsia" w:ascii="仿宋_GB2312" w:hAnsi="仿宋_GB2312" w:eastAsia="仿宋_GB2312" w:cs="仿宋_GB2312"/>
          <w:sz w:val="32"/>
          <w:szCs w:val="32"/>
          <w:lang w:eastAsia="zh-CN"/>
        </w:rPr>
        <w:t>村医</w:t>
      </w:r>
      <w:r>
        <w:rPr>
          <w:rFonts w:hint="eastAsia" w:ascii="仿宋_GB2312" w:hAnsi="仿宋_GB2312" w:eastAsia="仿宋_GB2312" w:cs="仿宋_GB2312"/>
          <w:sz w:val="32"/>
          <w:szCs w:val="32"/>
        </w:rPr>
        <w:t>中医民族医药适宜技术</w:t>
      </w:r>
      <w:r>
        <w:rPr>
          <w:rFonts w:hint="eastAsia" w:ascii="仿宋_GB2312" w:hAnsi="仿宋_GB2312" w:eastAsia="仿宋_GB2312" w:cs="仿宋_GB2312"/>
          <w:sz w:val="32"/>
          <w:szCs w:val="32"/>
          <w:lang w:eastAsia="zh-CN"/>
        </w:rPr>
        <w:t>服务培训</w:t>
      </w:r>
      <w:r>
        <w:rPr>
          <w:rFonts w:hint="eastAsia" w:ascii="仿宋_GB2312" w:hAnsi="仿宋_GB2312" w:eastAsia="仿宋_GB2312" w:cs="仿宋_GB2312"/>
          <w:sz w:val="32"/>
          <w:szCs w:val="32"/>
        </w:rPr>
        <w:t>，发挥中医药康复护理和“治</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病”的优势和作用，</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拔罐、针灸、推拿等中医服务</w:t>
      </w:r>
      <w:r>
        <w:rPr>
          <w:rFonts w:hint="eastAsia" w:ascii="仿宋_GB2312" w:hAnsi="仿宋_GB2312" w:eastAsia="仿宋_GB2312" w:cs="仿宋_GB2312"/>
          <w:sz w:val="32"/>
          <w:szCs w:val="32"/>
          <w:lang w:eastAsia="zh-CN"/>
        </w:rPr>
        <w:t>医技纳入村医工作范畴，方便群众就医，增加医务收入</w:t>
      </w:r>
      <w:r>
        <w:rPr>
          <w:rFonts w:hint="eastAsia" w:ascii="仿宋_GB2312" w:hAnsi="仿宋_GB2312" w:eastAsia="仿宋_GB2312" w:cs="仿宋_GB2312"/>
          <w:sz w:val="32"/>
          <w:szCs w:val="32"/>
        </w:rPr>
        <w:t>。</w:t>
      </w:r>
    </w:p>
    <w:p>
      <w:pPr>
        <w:keepNext w:val="0"/>
        <w:keepLines w:val="0"/>
        <w:pageBreakBefore w:val="0"/>
        <w:widowControl/>
        <w:numPr>
          <w:ilvl w:val="0"/>
          <w:numId w:val="1"/>
        </w:numPr>
        <w:pBdr>
          <w:bottom w:val="single" w:color="FFFFFF" w:sz="4" w:space="31"/>
        </w:pBdr>
        <w:tabs>
          <w:tab w:val="left" w:pos="426"/>
          <w:tab w:val="left" w:pos="1440"/>
        </w:tabs>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创新村医管理模式，建立乡村医生退出机制。一是积极推广麻江县创新乡村医生“员额制”改革。强化乡村一体化管理模式，按照“八统一”原则，深化乡村一体化发展，明确村卫生室作为乡镇卫生院派驻的非营利性医疗卫生机构，由所在乡镇卫生院副院长作为村卫生室法人，将乡村医生作为乡镇卫生院编外人员参照事业单位在职人员进行管理，同管理、同考核，基本实现同工同酬。二是建立乡村医生退出机制，实现老有所养。对养老保险中的个人部分缴纳存在困难年龄较大的村医，采取财政补贴、银行贴息贷款等方式先行垫付个人部分，再从村医退休养老金中扣还方式解决。</w:t>
      </w:r>
    </w:p>
    <w:p>
      <w:pPr>
        <w:keepNext w:val="0"/>
        <w:keepLines w:val="0"/>
        <w:pageBreakBefore w:val="0"/>
        <w:widowControl/>
        <w:numPr>
          <w:ilvl w:val="0"/>
          <w:numId w:val="1"/>
        </w:numPr>
        <w:pBdr>
          <w:bottom w:val="single" w:color="FFFFFF" w:sz="4" w:space="31"/>
        </w:pBdr>
        <w:tabs>
          <w:tab w:val="left" w:pos="426"/>
          <w:tab w:val="left" w:pos="1440"/>
        </w:tabs>
        <w:kinsoku/>
        <w:wordWrap/>
        <w:overflowPunct/>
        <w:topLinePunct w:val="0"/>
        <w:autoSpaceDE/>
        <w:autoSpaceDN/>
        <w:bidi w:val="0"/>
        <w:adjustRightInd/>
        <w:snapToGrid/>
        <w:spacing w:line="560" w:lineRule="exact"/>
        <w:ind w:left="0" w:leftChars="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重视本地人才培养，储备村医后备力量。</w:t>
      </w:r>
      <w:r>
        <w:rPr>
          <w:rFonts w:hint="eastAsia" w:ascii="仿宋_GB2312" w:hAnsi="仿宋_GB2312" w:eastAsia="仿宋_GB2312" w:cs="仿宋_GB2312"/>
          <w:sz w:val="32"/>
          <w:szCs w:val="32"/>
          <w:lang w:eastAsia="zh-CN"/>
        </w:rPr>
        <w:t>完善面向乡村的委培、定向培养中医药苗侗医药人才制度，</w:t>
      </w:r>
      <w:r>
        <w:rPr>
          <w:rFonts w:hint="eastAsia" w:ascii="仿宋_GB2312" w:hAnsi="仿宋_GB2312" w:eastAsia="仿宋_GB2312" w:cs="仿宋_GB2312"/>
          <w:sz w:val="32"/>
          <w:szCs w:val="32"/>
        </w:rPr>
        <w:t>推广麻江、从江等县</w:t>
      </w:r>
      <w:r>
        <w:rPr>
          <w:rFonts w:hint="eastAsia" w:ascii="仿宋_GB2312" w:hAnsi="仿宋_GB2312" w:eastAsia="仿宋_GB2312" w:cs="仿宋_GB2312"/>
          <w:sz w:val="32"/>
          <w:szCs w:val="32"/>
          <w:lang w:eastAsia="zh-CN"/>
        </w:rPr>
        <w:t>做法</w:t>
      </w:r>
      <w:r>
        <w:rPr>
          <w:rFonts w:hint="eastAsia" w:ascii="仿宋_GB2312" w:hAnsi="仿宋_GB2312" w:eastAsia="仿宋_GB2312" w:cs="仿宋_GB2312"/>
          <w:sz w:val="32"/>
          <w:szCs w:val="32"/>
        </w:rPr>
        <w:t>，利用县中等职业技术学校资源，争取3-5年为全县每个行政村培养1-2名本地</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医学生，培养一批本地医疗技术好、服务能力强的乡土医学人才，</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当地群众</w:t>
      </w:r>
      <w:r>
        <w:rPr>
          <w:rFonts w:hint="eastAsia" w:ascii="仿宋_GB2312" w:hAnsi="仿宋_GB2312" w:eastAsia="仿宋_GB2312" w:cs="仿宋_GB2312"/>
          <w:sz w:val="32"/>
          <w:szCs w:val="32"/>
          <w:lang w:eastAsia="zh-CN"/>
        </w:rPr>
        <w:t>提供优质医疗服务</w:t>
      </w:r>
      <w:r>
        <w:rPr>
          <w:rFonts w:hint="eastAsia" w:ascii="仿宋_GB2312" w:hAnsi="仿宋_GB2312" w:eastAsia="仿宋_GB2312" w:cs="仿宋_GB2312"/>
          <w:sz w:val="32"/>
          <w:szCs w:val="32"/>
        </w:rPr>
        <w:t>。</w:t>
      </w:r>
    </w:p>
    <w:p>
      <w:pPr>
        <w:keepNext w:val="0"/>
        <w:keepLines w:val="0"/>
        <w:pageBreakBefore w:val="0"/>
        <w:kinsoku/>
        <w:overflowPunct/>
        <w:autoSpaceDE/>
        <w:autoSpaceDN/>
        <w:bidi w:val="0"/>
        <w:adjustRightInd/>
        <w:snapToGrid/>
        <w:spacing w:beforeAutospacing="0" w:afterAutospacing="0" w:line="560" w:lineRule="exact"/>
        <w:ind w:firstLine="643" w:firstLineChars="200"/>
        <w:rPr>
          <w:rStyle w:val="13"/>
          <w:rFonts w:hint="eastAsia" w:ascii="仿宋" w:hAnsi="仿宋" w:eastAsia="仿宋" w:cs="仿宋"/>
          <w:kern w:val="0"/>
          <w:sz w:val="32"/>
          <w:szCs w:val="32"/>
          <w:lang w:val="en-US" w:eastAsia="zh-CN"/>
        </w:rPr>
      </w:pPr>
      <w:r>
        <w:rPr>
          <w:rStyle w:val="13"/>
          <w:rFonts w:hint="eastAsia" w:ascii="黑体" w:hAnsi="黑体" w:eastAsia="黑体" w:cs="黑体"/>
          <w:b/>
          <w:bCs/>
          <w:kern w:val="0"/>
          <w:sz w:val="32"/>
          <w:szCs w:val="32"/>
          <w:lang w:val="en-US" w:eastAsia="zh-CN"/>
        </w:rPr>
        <w:t>注：</w:t>
      </w:r>
      <w:r>
        <w:rPr>
          <w:rStyle w:val="13"/>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kinsoku/>
        <w:overflowPunct/>
        <w:autoSpaceDE/>
        <w:autoSpaceDN/>
        <w:bidi w:val="0"/>
        <w:adjustRightInd/>
        <w:snapToGrid/>
        <w:spacing w:beforeAutospacing="0" w:afterAutospacing="0" w:line="560" w:lineRule="exact"/>
        <w:ind w:firstLine="1280" w:firstLineChars="400"/>
        <w:rPr>
          <w:rStyle w:val="13"/>
          <w:rFonts w:hint="default" w:ascii="仿宋" w:hAnsi="仿宋" w:eastAsia="仿宋" w:cs="仿宋"/>
          <w:kern w:val="0"/>
          <w:sz w:val="32"/>
          <w:szCs w:val="32"/>
          <w:lang w:val="en-US" w:eastAsia="zh-CN"/>
        </w:rPr>
      </w:pPr>
      <w:r>
        <w:rPr>
          <w:rStyle w:val="13"/>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9EA95"/>
    <w:multiLevelType w:val="singleLevel"/>
    <w:tmpl w:val="20A9EA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45F3915"/>
    <w:rsid w:val="06503351"/>
    <w:rsid w:val="07D26AFC"/>
    <w:rsid w:val="08B66956"/>
    <w:rsid w:val="10B40BCC"/>
    <w:rsid w:val="118823F2"/>
    <w:rsid w:val="16F969DB"/>
    <w:rsid w:val="18EC1E64"/>
    <w:rsid w:val="1B913D76"/>
    <w:rsid w:val="1BAB45FA"/>
    <w:rsid w:val="1D124BB8"/>
    <w:rsid w:val="20E366FE"/>
    <w:rsid w:val="21EA0B57"/>
    <w:rsid w:val="23370767"/>
    <w:rsid w:val="263601B7"/>
    <w:rsid w:val="280B3E99"/>
    <w:rsid w:val="29BB0497"/>
    <w:rsid w:val="29EB237C"/>
    <w:rsid w:val="2BDD0731"/>
    <w:rsid w:val="2FD84B80"/>
    <w:rsid w:val="30B878C9"/>
    <w:rsid w:val="32794BB9"/>
    <w:rsid w:val="33552650"/>
    <w:rsid w:val="35A1653F"/>
    <w:rsid w:val="377737A4"/>
    <w:rsid w:val="38D60616"/>
    <w:rsid w:val="3A7B4D73"/>
    <w:rsid w:val="3DF62588"/>
    <w:rsid w:val="3F1A5C90"/>
    <w:rsid w:val="42F10C9F"/>
    <w:rsid w:val="44C6768C"/>
    <w:rsid w:val="493508EE"/>
    <w:rsid w:val="497C7186"/>
    <w:rsid w:val="4A196944"/>
    <w:rsid w:val="4A6A10A6"/>
    <w:rsid w:val="4F1E6C2C"/>
    <w:rsid w:val="4F6B5D70"/>
    <w:rsid w:val="4FD75182"/>
    <w:rsid w:val="507F065A"/>
    <w:rsid w:val="5236789E"/>
    <w:rsid w:val="559F1A55"/>
    <w:rsid w:val="5A7C34BF"/>
    <w:rsid w:val="5AA17385"/>
    <w:rsid w:val="5B7C24C8"/>
    <w:rsid w:val="5C6B77F5"/>
    <w:rsid w:val="5CA30A41"/>
    <w:rsid w:val="61895CCF"/>
    <w:rsid w:val="66F35DD9"/>
    <w:rsid w:val="67615A51"/>
    <w:rsid w:val="6854075C"/>
    <w:rsid w:val="69A37ABB"/>
    <w:rsid w:val="6A644AE2"/>
    <w:rsid w:val="6F5974BD"/>
    <w:rsid w:val="72DF1356"/>
    <w:rsid w:val="74057945"/>
    <w:rsid w:val="743C31A8"/>
    <w:rsid w:val="74620891"/>
    <w:rsid w:val="75FC7C1A"/>
    <w:rsid w:val="778C0E73"/>
    <w:rsid w:val="78491FD0"/>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table of authorities"/>
    <w:basedOn w:val="1"/>
    <w:next w:val="1"/>
    <w:qFormat/>
    <w:uiPriority w:val="0"/>
    <w:pPr>
      <w:ind w:left="420" w:leftChars="200"/>
    </w:pPr>
    <w:rPr>
      <w:szCs w:val="20"/>
    </w:rPr>
  </w:style>
  <w:style w:type="paragraph" w:styleId="5">
    <w:name w:val="footer"/>
    <w:basedOn w:val="1"/>
    <w:link w:val="24"/>
    <w:qFormat/>
    <w:uiPriority w:val="99"/>
    <w:pPr>
      <w:snapToGrid w:val="0"/>
      <w:jc w:val="left"/>
    </w:pPr>
    <w:rPr>
      <w:sz w:val="18"/>
      <w:szCs w:val="18"/>
    </w:rPr>
  </w:style>
  <w:style w:type="paragraph" w:styleId="6">
    <w:name w:val="header"/>
    <w:basedOn w:val="1"/>
    <w:qFormat/>
    <w:uiPriority w:val="0"/>
    <w:pPr>
      <w:pBdr>
        <w:bottom w:val="single" w:color="000000" w:sz="6" w:space="0"/>
      </w:pBdr>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Autospacing="1" w:afterAutospacing="1"/>
      <w:jc w:val="left"/>
    </w:pPr>
    <w:rPr>
      <w:kern w:val="0"/>
      <w:sz w:val="24"/>
    </w:rPr>
  </w:style>
  <w:style w:type="character" w:styleId="11">
    <w:name w:val="Strong"/>
    <w:qFormat/>
    <w:uiPriority w:val="0"/>
    <w:rPr>
      <w:rFonts w:cs="Times New Roman"/>
      <w:b/>
      <w:bCs/>
    </w:rPr>
  </w:style>
  <w:style w:type="character" w:styleId="12">
    <w:name w:val="Hyperlink"/>
    <w:basedOn w:val="13"/>
    <w:semiHidden/>
    <w:qFormat/>
    <w:uiPriority w:val="0"/>
    <w:rPr>
      <w:color w:val="0000FF"/>
      <w:u w:val="single"/>
    </w:rPr>
  </w:style>
  <w:style w:type="character" w:customStyle="1" w:styleId="13">
    <w:name w:val="NormalCharacter"/>
    <w:semiHidden/>
    <w:qFormat/>
    <w:uiPriority w:val="0"/>
  </w:style>
  <w:style w:type="paragraph" w:customStyle="1" w:styleId="14">
    <w:name w:val="正文-公1"/>
    <w:basedOn w:val="1"/>
    <w:qFormat/>
    <w:uiPriority w:val="99"/>
    <w:pPr>
      <w:ind w:firstLine="200" w:firstLineChars="200"/>
    </w:pPr>
    <w:rPr>
      <w:rFonts w:ascii="Calibri" w:hAnsi="Calibri"/>
    </w:rPr>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3"/>
    <w:link w:val="15"/>
    <w:qFormat/>
    <w:uiPriority w:val="0"/>
    <w:rPr>
      <w:rFonts w:ascii="宋体" w:hAnsi="宋体" w:cs="宋体"/>
      <w:b/>
      <w:bCs/>
      <w:kern w:val="36"/>
      <w:sz w:val="48"/>
      <w:szCs w:val="48"/>
    </w:rPr>
  </w:style>
  <w:style w:type="character" w:customStyle="1" w:styleId="22">
    <w:name w:val="UserStyle_4"/>
    <w:basedOn w:val="13"/>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10"/>
    <w:link w:val="5"/>
    <w:qFormat/>
    <w:uiPriority w:val="99"/>
    <w:rPr>
      <w:rFonts w:cstheme="minorBidi"/>
      <w:kern w:val="2"/>
      <w:sz w:val="18"/>
      <w:szCs w:val="18"/>
    </w:rPr>
  </w:style>
  <w:style w:type="paragraph" w:customStyle="1" w:styleId="25">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26">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2021-02-26T02:55:00Z</cp:lastPrinted>
  <dcterms:modified xsi:type="dcterms:W3CDTF">2022-01-08T09:39:10Z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B3C9E225675F4CE0A818980B9A9A9F71</vt:lpwstr>
  </property>
</Properties>
</file>