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spacing w:before="0" w:beforeAutospacing="0" w:after="0" w:afterAutospacing="0" w:line="600" w:lineRule="exact"/>
        <w:jc w:val="center"/>
        <w:rPr>
          <w:rStyle w:val="19"/>
          <w:rFonts w:ascii="黑体" w:eastAsia="黑体"/>
          <w:sz w:val="44"/>
          <w:szCs w:val="44"/>
        </w:rPr>
      </w:pPr>
      <w:r>
        <w:rPr>
          <w:rStyle w:val="17"/>
          <w:rFonts w:ascii="黑体" w:eastAsia="黑体" w:cs="宋体"/>
          <w:sz w:val="44"/>
          <w:szCs w:val="44"/>
        </w:rPr>
        <w:t>中国人民政治协商会议</w:t>
      </w:r>
    </w:p>
    <w:p>
      <w:pPr>
        <w:pStyle w:val="25"/>
        <w:spacing w:before="0" w:beforeAutospacing="0" w:after="0" w:afterAutospacing="0" w:line="600" w:lineRule="exact"/>
        <w:jc w:val="center"/>
        <w:rPr>
          <w:rStyle w:val="19"/>
          <w:rFonts w:hint="eastAsia"/>
          <w:sz w:val="44"/>
          <w:szCs w:val="44"/>
        </w:rPr>
      </w:pPr>
      <w:r>
        <w:rPr>
          <w:rStyle w:val="19"/>
          <w:sz w:val="44"/>
          <w:szCs w:val="44"/>
        </w:rPr>
        <w:t>黔东南苗族侗族自治州委员会</w:t>
      </w:r>
    </w:p>
    <w:p>
      <w:pPr>
        <w:pStyle w:val="25"/>
        <w:spacing w:before="0" w:beforeAutospacing="0" w:after="0" w:afterAutospacing="0" w:line="600" w:lineRule="exact"/>
        <w:jc w:val="center"/>
        <w:rPr>
          <w:rStyle w:val="19"/>
          <w:rFonts w:hint="eastAsia"/>
          <w:sz w:val="44"/>
          <w:szCs w:val="44"/>
        </w:rPr>
      </w:pPr>
      <w:r>
        <w:rPr>
          <w:rStyle w:val="19"/>
          <w:sz w:val="44"/>
          <w:szCs w:val="44"/>
        </w:rPr>
        <w:t>提</w:t>
      </w:r>
      <w:r>
        <w:rPr>
          <w:rStyle w:val="19"/>
          <w:rFonts w:hint="eastAsia"/>
          <w:sz w:val="44"/>
          <w:szCs w:val="44"/>
        </w:rPr>
        <w:t xml:space="preserve">   </w:t>
      </w:r>
      <w:r>
        <w:rPr>
          <w:rStyle w:val="1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9"/>
          <w:rFonts w:ascii="宋体" w:hAnsi="宋体"/>
          <w:kern w:val="0"/>
          <w:sz w:val="24"/>
        </w:rPr>
        <w:t>第十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9"/>
          <w:rFonts w:ascii="宋体" w:hAnsi="宋体"/>
          <w:kern w:val="0"/>
          <w:sz w:val="24"/>
        </w:rPr>
        <w:t>届第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9"/>
          <w:rFonts w:ascii="宋体" w:hAnsi="宋体"/>
          <w:kern w:val="0"/>
          <w:sz w:val="24"/>
        </w:rPr>
        <w:t>次会议　       　第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>026</w:t>
      </w:r>
      <w:bookmarkStart w:id="0" w:name="_GoBack"/>
      <w:bookmarkEnd w:id="0"/>
      <w:r>
        <w:rPr>
          <w:rStyle w:val="19"/>
          <w:rFonts w:ascii="宋体" w:hAnsi="宋体"/>
          <w:kern w:val="0"/>
          <w:sz w:val="24"/>
        </w:rPr>
        <w:t xml:space="preserve">号　    </w:t>
      </w:r>
      <w:r>
        <w:rPr>
          <w:rStyle w:val="19"/>
          <w:rFonts w:hint="eastAsia" w:ascii="宋体" w:hAnsi="宋体"/>
          <w:kern w:val="0"/>
          <w:sz w:val="24"/>
        </w:rPr>
        <w:t xml:space="preserve">    </w:t>
      </w:r>
      <w:r>
        <w:rPr>
          <w:rStyle w:val="19"/>
          <w:rFonts w:hint="eastAsia" w:ascii="宋体" w:hAnsi="宋体"/>
          <w:kern w:val="0"/>
          <w:sz w:val="24"/>
          <w:lang w:val="en-US" w:eastAsia="zh-CN"/>
        </w:rPr>
        <w:t xml:space="preserve"> 类别：文化建设类     </w:t>
      </w:r>
    </w:p>
    <w:p>
      <w:pPr>
        <w:spacing w:line="320" w:lineRule="exact"/>
        <w:jc w:val="left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1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both"/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关于大力扶持黔东南本土作家的建议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szCs w:val="24"/>
                <w:lang w:eastAsia="zh-CN"/>
              </w:rPr>
              <w:t>主办：州文联</w:t>
            </w:r>
            <w:r>
              <w:rPr>
                <w:rStyle w:val="19"/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会办：州文广局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ascii="黑体" w:hAnsi="宋体" w:eastAsia="黑体"/>
                <w:kern w:val="0"/>
                <w:sz w:val="24"/>
              </w:rPr>
            </w:pP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9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9"/>
                <w:rFonts w:ascii="宋体" w:hAnsi="宋体"/>
                <w:kern w:val="0"/>
                <w:sz w:val="24"/>
              </w:rPr>
            </w:pPr>
            <w:r>
              <w:rPr>
                <w:rStyle w:val="1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pStyle w:val="20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邹益弟</w:t>
            </w:r>
          </w:p>
        </w:tc>
        <w:tc>
          <w:tcPr>
            <w:tcW w:w="3872" w:type="dxa"/>
            <w:vAlign w:val="center"/>
          </w:tcPr>
          <w:p>
            <w:pPr>
              <w:pStyle w:val="20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凯里市宏星贸易有限责任公司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56000</w:t>
            </w:r>
          </w:p>
        </w:tc>
        <w:tc>
          <w:tcPr>
            <w:tcW w:w="1485" w:type="dxa"/>
            <w:vAlign w:val="center"/>
          </w:tcPr>
          <w:p>
            <w:pPr>
              <w:pStyle w:val="20"/>
              <w:ind w:left="0" w:leftChars="0" w:firstLine="0" w:firstLineChars="0"/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13985281370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9"/>
          <w:rFonts w:ascii="宋体" w:hAnsi="宋体"/>
          <w:kern w:val="0"/>
          <w:sz w:val="24"/>
        </w:rPr>
      </w:pPr>
      <w:r>
        <w:rPr>
          <w:rStyle w:val="1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黔东南文学与经济成果呈现出两极分化，极大地影响了黔东南形象，需要积极扶持作家的创作。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习近平总书记在刚召开的“第十一次全国文代会”上开宗明义地讲出了人民作家的诞生、职责和使命。讲话指出，作家是中国新民主主义革命和社会主义革命的思想建设者，在社会主义新时期的新使命是生活在人民里，以大情怀和大视野去写作，书写人民和我们这个时代伟大的事业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当前社会经济在急速发展，我们已完成了脱贫的伟大事业，踏上了社会主义新征程。在此背景下，我们黔东南的文学是个什么情况？是在和经济一起发展吗？就我目前的了解，黔东南文学当下的处境非常尴尬，有着没落的危险。具体表现有以下几个问题：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.全州已经有十多年时间没有作家在《当代》《十月》等国家一级刊物上发表大型作品，这是文学严重不发达的事实；2.国家级作家仅有8人（2021年新加入4人），省级作家仅有131人，高端写作人才严重匮乏；3.作家出书严重不足，绝大部分靠个人集资出书，影响有限，无法向更高的文学领域进军；4.各县原有的“内刊”大部已经停办，培养文学新人缺乏发动机和阵地，作家断粮；5.各县文联作家协会基本没有经费来源，无法持久开展文学采风活动，作品创作有限，无法满足当下的人民群众文化生活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经济发展了，文化建设反而落后了，这是不正常现象，也是与总书记的期待背道而驰。造成这些问题有多方面的原因，但一个最根本的原因是文联系统对作家队伍的建设不够，财政对文学人才的扶持力度不够。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黔东南文学在新中国成立后，曾有过一个黄金时期，以青曼苗族作家伍略为代表的一大批民族作家，在六七十年代大放异彩，写出了《麻栗沟》等一大批在国内外有影响的作品。2001年，伍略与韦文杨合作编著的八集神话电视连续剧《仰阿瑟》由作家出版社出版，在文学界和苗族圈中引起了较大的反响。但在伍略逝世和韦文杨退休后，黔东南文学一蹶不振起来，再没有大作品登上国家级舞台。这反映出黔东南作家的后备力量不足，国家级作家数量太少，难写出大量的好作品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黔东南国家级作家数量2021年底仅仅达到8人，与遵义市的160多人比较零头都不到；省级作家131人，不足全省1900余人的十分之一。黔东南是被联合国教科文组织确认为“世界十大少数民族风情保护区”的地方，人文自然景观丰富，可以说是一个文化富矿，现在却变成了一个文化弱州，处境非常尴尬，值得我们好好反思。黔东南近年来虽然也出现了一批以徐德雷、淳本、杨桂梅、龙艳、许言木、鲁海为代表的优秀作家，作品在国内外获得无数大奖，其能力早已达到国家级作家水准。但苦于受困于个人经济，没有出版个人专著（加入中国作协需要个人专著两本以上），而无法加入中国作协，走上更高层面，需要引起财政重视，需要财政扶持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他们的命运与整个黔东南文学事业关联着。在2020年文联作家协会改组，把以前的作家协会纳入文联管理，一定程度上可以整合他们的力量，向上前近。但受资金限制，也无法提供给他们出版个人书籍，仍然属于个人单打独斗状态，对黔东南的文学帮助不大。很多县的作家协会更是名存实亡，连会员登记都不正常，更不要说开展文学活动。全州作家仍然没有战斗力，没有形成集团优势，没有形成黔东南的文学形象，这就是黔东南文学的现状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受财政影响，各县作协几乎得不到什么经费。2021年全州各县的“内刊”几乎完全消失，只有锦屏县的《锦屏文艺》、黎平县的《侗族大歌》和凯里的《苗岭》能正常出刊。镇远的《舞水》、天柱的《清水江》处在不正常出刊状态，三穗的《文笔塔》、岑巩的《思州文艺》等各县内刊已彻底消失了。这对广大文学爱好者不是一个好事，对黔东南文学事业更是一个坏的打击。在我们今天再提“双百方针”的时候，失去了这些阵地就几乎成了一句空话，一句口号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建议：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习近平总书记在“第十一次全国文代会”的讲话，可以肯定一个文学的春天又即将来临。为了黔东南的文学事业与经济同步，并能跑在全省的前面；为了更好的挖掘和反映黔东南这块文学富矿，树立黔东南良好的文化形象，为此我提出以下建议：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1.加大财政拨款力度，把各县的“内刊”恢复，使之成为培养文学新人的阵地；继续办好《杉乡文学》，想办法恢复其国家级刊号；为《民族文学》等国家级杂志来黔东南设立创作基地提供一定的财政支持。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2.用财政扶持一批有潜力的作家出书，可以采用出“丛书”的办法推出一批作家冲击加入中国作协。只有人数上去了，写作的质量才能上去，作品才能上去，形象才能上去。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.设立黔东南文学创作奖励基金，对发表纯文学的小说、散文、诗歌作者进行奖励，提高作家们的创作积极性。比如：在国家级刊物发表长篇小说奖励五万元，在省级以上刊物发表长篇小说奖励2万元等，具体作品具体规定。</w:t>
      </w: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为作家服务，是为社会服务，也是为文明服务，更是为经济建设服务。</w:t>
      </w:r>
    </w:p>
    <w:p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spacing w:line="560" w:lineRule="exact"/>
        <w:ind w:left="0" w:leftChars="0" w:firstLine="640" w:firstLineChars="200"/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注：1、提案会办单位需将会办意见送主办单位，由主办单位连同《提案答复件》《征询意见表》一并抄送州政协；（涉及目标考核）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Style w:val="19"/>
          <w:rFonts w:hint="default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Style w:val="19"/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rPr>
        <w:rStyle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C23FF"/>
    <w:multiLevelType w:val="multilevel"/>
    <w:tmpl w:val="1D6C23FF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firstLine="40"/>
      </w:pPr>
      <w:rPr>
        <w:rFonts w:hint="eastAsia" w:ascii="Times New Roman" w:hAnsi="Times New Roman" w:eastAsia="黑体" w:cs="宋体"/>
        <w:sz w:val="32"/>
        <w:szCs w:val="32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</w:pPr>
      <w:rPr>
        <w:rFonts w:hint="eastAsia" w:cs="Times New Roman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firstLine="400"/>
      </w:pPr>
      <w:rPr>
        <w:rFonts w:hint="eastAsia" w:cs="Times New Roman"/>
      </w:rPr>
    </w:lvl>
    <w:lvl w:ilvl="3" w:tentative="0">
      <w:start w:val="1"/>
      <w:numFmt w:val="decimal"/>
      <w:suff w:val="nothing"/>
      <w:lvlText w:val="（%4）"/>
      <w:lvlJc w:val="left"/>
      <w:pPr>
        <w:ind w:firstLine="402"/>
      </w:pPr>
      <w:rPr>
        <w:rFonts w:hint="eastAsia" w:cs="Times New Roman"/>
      </w:rPr>
    </w:lvl>
    <w:lvl w:ilvl="4" w:tentative="0">
      <w:start w:val="1"/>
      <w:numFmt w:val="decimalEnclosedCircleChinese"/>
      <w:suff w:val="nothing"/>
      <w:lvlText w:val="%5"/>
      <w:lvlJc w:val="left"/>
      <w:pPr>
        <w:ind w:firstLine="402"/>
      </w:pPr>
      <w:rPr>
        <w:rFonts w:hint="eastAsia" w:cs="Times New Roman"/>
      </w:rPr>
    </w:lvl>
    <w:lvl w:ilvl="5" w:tentative="0">
      <w:start w:val="1"/>
      <w:numFmt w:val="decimal"/>
      <w:suff w:val="nothing"/>
      <w:lvlText w:val="%6）"/>
      <w:lvlJc w:val="left"/>
      <w:pPr>
        <w:ind w:firstLine="402"/>
      </w:pPr>
      <w:rPr>
        <w:rFonts w:hint="eastAsia" w:cs="Times New Roman"/>
      </w:rPr>
    </w:lvl>
    <w:lvl w:ilvl="6" w:tentative="0">
      <w:start w:val="1"/>
      <w:numFmt w:val="lowerLetter"/>
      <w:suff w:val="nothing"/>
      <w:lvlText w:val="%7．"/>
      <w:lvlJc w:val="left"/>
      <w:pPr>
        <w:ind w:firstLine="402"/>
      </w:pPr>
      <w:rPr>
        <w:rFonts w:hint="eastAsia" w:cs="Times New Roman"/>
      </w:rPr>
    </w:lvl>
    <w:lvl w:ilvl="7" w:tentative="0">
      <w:start w:val="1"/>
      <w:numFmt w:val="lowerLetter"/>
      <w:suff w:val="nothing"/>
      <w:lvlText w:val="%8）"/>
      <w:lvlJc w:val="left"/>
      <w:pPr>
        <w:ind w:firstLine="402"/>
      </w:pPr>
      <w:rPr>
        <w:rFonts w:hint="eastAsia" w:cs="Times New Roman"/>
      </w:rPr>
    </w:lvl>
    <w:lvl w:ilvl="8" w:tentative="0">
      <w:start w:val="1"/>
      <w:numFmt w:val="lowerRoman"/>
      <w:suff w:val="nothing"/>
      <w:lvlText w:val="%9 "/>
      <w:lvlJc w:val="left"/>
      <w:pPr>
        <w:ind w:firstLine="402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08B66956"/>
    <w:rsid w:val="09EF9F1F"/>
    <w:rsid w:val="0FFBAB29"/>
    <w:rsid w:val="10B40BCC"/>
    <w:rsid w:val="118823F2"/>
    <w:rsid w:val="18EC1E64"/>
    <w:rsid w:val="1AD70FA2"/>
    <w:rsid w:val="1BAB45FA"/>
    <w:rsid w:val="20E366FE"/>
    <w:rsid w:val="21EA0B57"/>
    <w:rsid w:val="29EB237C"/>
    <w:rsid w:val="2EEFEF58"/>
    <w:rsid w:val="2FD84B80"/>
    <w:rsid w:val="30B878C9"/>
    <w:rsid w:val="33552650"/>
    <w:rsid w:val="377737A4"/>
    <w:rsid w:val="38D60616"/>
    <w:rsid w:val="3A7B4D73"/>
    <w:rsid w:val="3BE7499D"/>
    <w:rsid w:val="3D7F297E"/>
    <w:rsid w:val="3F1A5C90"/>
    <w:rsid w:val="3FDFCC08"/>
    <w:rsid w:val="3FF6ED0D"/>
    <w:rsid w:val="3FFB72CC"/>
    <w:rsid w:val="42F10C9F"/>
    <w:rsid w:val="493508EE"/>
    <w:rsid w:val="497C7186"/>
    <w:rsid w:val="4A196944"/>
    <w:rsid w:val="4F1E6C2C"/>
    <w:rsid w:val="4F6B5D70"/>
    <w:rsid w:val="507F065A"/>
    <w:rsid w:val="5236789E"/>
    <w:rsid w:val="559F1A55"/>
    <w:rsid w:val="56AF45AE"/>
    <w:rsid w:val="576FEE59"/>
    <w:rsid w:val="5A7C34BF"/>
    <w:rsid w:val="5AA17385"/>
    <w:rsid w:val="5B7C24C8"/>
    <w:rsid w:val="5DEFF445"/>
    <w:rsid w:val="5DFEB2E5"/>
    <w:rsid w:val="5E7C7E34"/>
    <w:rsid w:val="61895CCF"/>
    <w:rsid w:val="62072B80"/>
    <w:rsid w:val="66F35DD9"/>
    <w:rsid w:val="6854075C"/>
    <w:rsid w:val="69A37ABB"/>
    <w:rsid w:val="6FD47A0B"/>
    <w:rsid w:val="762A4BFD"/>
    <w:rsid w:val="7C1F064D"/>
    <w:rsid w:val="7C8B6EB8"/>
    <w:rsid w:val="7DAF1E8B"/>
    <w:rsid w:val="7DBB9FDA"/>
    <w:rsid w:val="7EFF0D7D"/>
    <w:rsid w:val="7FE0122B"/>
    <w:rsid w:val="7FFF2EBA"/>
    <w:rsid w:val="AEBE54DD"/>
    <w:rsid w:val="B7F73D83"/>
    <w:rsid w:val="B7FF736E"/>
    <w:rsid w:val="BCFF9EFE"/>
    <w:rsid w:val="CCD9BA09"/>
    <w:rsid w:val="D47E0AFD"/>
    <w:rsid w:val="DCBB4D71"/>
    <w:rsid w:val="DCF72661"/>
    <w:rsid w:val="DEDBFE39"/>
    <w:rsid w:val="E7F72C30"/>
    <w:rsid w:val="EBB794E2"/>
    <w:rsid w:val="EF7E7B91"/>
    <w:rsid w:val="F27C030D"/>
    <w:rsid w:val="F6C7B41D"/>
    <w:rsid w:val="F7B75326"/>
    <w:rsid w:val="FD7FF71D"/>
    <w:rsid w:val="FEEF87BA"/>
    <w:rsid w:val="FF27039E"/>
    <w:rsid w:val="FF7114F5"/>
    <w:rsid w:val="FFEA0C81"/>
    <w:rsid w:val="FFF796C5"/>
    <w:rsid w:val="FFFFA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iPriority="99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tabs>
        <w:tab w:val="left" w:pos="0"/>
      </w:tabs>
      <w:spacing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880" w:firstLineChars="200"/>
    </w:pPr>
    <w:rPr>
      <w:rFonts w:eastAsia="仿宋_GB2312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99"/>
    <w:pPr>
      <w:spacing w:afterAutospacing="1"/>
      <w:ind w:left="101"/>
    </w:pPr>
    <w:rPr>
      <w:rFonts w:ascii="宋体" w:hAnsi="宋体"/>
      <w:sz w:val="29"/>
      <w:szCs w:val="29"/>
    </w:rPr>
  </w:style>
  <w:style w:type="paragraph" w:styleId="6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7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8">
    <w:name w:val="Body Text Indent 2"/>
    <w:basedOn w:val="1"/>
    <w:next w:val="9"/>
    <w:qFormat/>
    <w:uiPriority w:val="99"/>
    <w:pPr>
      <w:spacing w:after="120" w:line="480" w:lineRule="auto"/>
      <w:ind w:left="420" w:leftChars="200"/>
    </w:pPr>
  </w:style>
  <w:style w:type="paragraph" w:styleId="9">
    <w:name w:val="Body Text Indent 3"/>
    <w:basedOn w:val="1"/>
    <w:qFormat/>
    <w:uiPriority w:val="99"/>
    <w:pPr>
      <w:ind w:left="200" w:leftChars="200"/>
    </w:pPr>
    <w:rPr>
      <w:sz w:val="16"/>
    </w:rPr>
  </w:style>
  <w:style w:type="paragraph" w:styleId="10">
    <w:name w:val="footer"/>
    <w:basedOn w:val="1"/>
    <w:link w:val="31"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7">
    <w:name w:val="Strong"/>
    <w:qFormat/>
    <w:uiPriority w:val="0"/>
    <w:rPr>
      <w:rFonts w:cs="Times New Roman"/>
      <w:b/>
      <w:bCs/>
    </w:rPr>
  </w:style>
  <w:style w:type="character" w:styleId="18">
    <w:name w:val="Hyperlink"/>
    <w:basedOn w:val="19"/>
    <w:semiHidden/>
    <w:qFormat/>
    <w:uiPriority w:val="0"/>
    <w:rPr>
      <w:color w:val="0000FF"/>
      <w:u w:val="single"/>
    </w:rPr>
  </w:style>
  <w:style w:type="character" w:customStyle="1" w:styleId="19">
    <w:name w:val="NormalCharacter"/>
    <w:semiHidden/>
    <w:qFormat/>
    <w:uiPriority w:val="0"/>
  </w:style>
  <w:style w:type="paragraph" w:customStyle="1" w:styleId="20">
    <w:name w:val="Body Text First Indent 21"/>
    <w:basedOn w:val="21"/>
    <w:qFormat/>
    <w:uiPriority w:val="99"/>
    <w:pPr>
      <w:ind w:firstLine="420" w:firstLineChars="200"/>
    </w:pPr>
  </w:style>
  <w:style w:type="paragraph" w:customStyle="1" w:styleId="21">
    <w:name w:val="Body Text Indent1"/>
    <w:basedOn w:val="1"/>
    <w:qFormat/>
    <w:uiPriority w:val="99"/>
    <w:pPr>
      <w:ind w:left="420" w:leftChars="200"/>
    </w:pPr>
  </w:style>
  <w:style w:type="paragraph" w:customStyle="1" w:styleId="22">
    <w:name w:val="Heading1"/>
    <w:basedOn w:val="1"/>
    <w:link w:val="28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2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Acetate"/>
    <w:basedOn w:val="1"/>
    <w:qFormat/>
    <w:uiPriority w:val="0"/>
    <w:rPr>
      <w:sz w:val="18"/>
      <w:szCs w:val="18"/>
    </w:rPr>
  </w:style>
  <w:style w:type="paragraph" w:customStyle="1" w:styleId="25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26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7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8">
    <w:name w:val="UserStyle_3"/>
    <w:basedOn w:val="19"/>
    <w:link w:val="22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9">
    <w:name w:val="UserStyle_4"/>
    <w:basedOn w:val="19"/>
    <w:qFormat/>
    <w:uiPriority w:val="0"/>
  </w:style>
  <w:style w:type="paragraph" w:customStyle="1" w:styleId="30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31">
    <w:name w:val="页脚 Char"/>
    <w:basedOn w:val="16"/>
    <w:link w:val="10"/>
    <w:qFormat/>
    <w:uiPriority w:val="99"/>
    <w:rPr>
      <w:rFonts w:cstheme="minorBidi"/>
      <w:kern w:val="2"/>
      <w:sz w:val="18"/>
      <w:szCs w:val="18"/>
    </w:rPr>
  </w:style>
  <w:style w:type="paragraph" w:customStyle="1" w:styleId="32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33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4">
    <w:name w:val="正文文本首行缩进 2"/>
    <w:basedOn w:val="3"/>
    <w:qFormat/>
    <w:uiPriority w:val="0"/>
    <w:pPr>
      <w:ind w:firstLine="420" w:firstLineChars="200"/>
    </w:pPr>
    <w:rPr>
      <w:rFonts w:ascii="Calibri" w:hAnsi="Calibri" w:eastAsia="宋体" w:cs="宋体"/>
    </w:rPr>
  </w:style>
  <w:style w:type="paragraph" w:customStyle="1" w:styleId="35">
    <w:name w:val="BodyText2"/>
    <w:basedOn w:val="1"/>
    <w:qFormat/>
    <w:uiPriority w:val="0"/>
    <w:pPr>
      <w:widowControl/>
      <w:spacing w:after="120" w:line="480" w:lineRule="auto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307</Words>
  <Characters>1751</Characters>
  <Lines>14</Lines>
  <Paragraphs>4</Paragraphs>
  <TotalTime>1</TotalTime>
  <ScaleCrop>false</ScaleCrop>
  <LinksUpToDate>false</LinksUpToDate>
  <CharactersWithSpaces>2054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2021-01-15T04:51:00Z</dcterms:created>
  <dc:creator>Administrator</dc:creator>
  <cp:lastModifiedBy>丘丘</cp:lastModifiedBy>
  <cp:lastPrinted>2022-01-08T09:46:25Z</cp:lastPrinted>
  <dcterms:modified xsi:type="dcterms:W3CDTF">2022-01-08T09:46:28Z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0BEFFA9D6DA34548976C4312CA596319</vt:lpwstr>
  </property>
</Properties>
</file>