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6"/>
        <w:spacing w:before="0" w:beforeAutospacing="0" w:after="0" w:afterAutospacing="0" w:line="600" w:lineRule="exact"/>
        <w:jc w:val="center"/>
        <w:rPr>
          <w:rStyle w:val="10"/>
          <w:rFonts w:ascii="黑体" w:eastAsia="黑体"/>
          <w:sz w:val="44"/>
          <w:szCs w:val="44"/>
        </w:rPr>
      </w:pPr>
      <w:r>
        <w:rPr>
          <w:rStyle w:val="8"/>
          <w:rFonts w:ascii="黑体" w:eastAsia="黑体" w:cs="宋体"/>
          <w:sz w:val="44"/>
          <w:szCs w:val="44"/>
        </w:rPr>
        <w:t>中国人民政治协商会议</w:t>
      </w:r>
    </w:p>
    <w:p>
      <w:pPr>
        <w:pStyle w:val="14"/>
        <w:spacing w:before="0" w:beforeAutospacing="0" w:after="0" w:afterAutospacing="0" w:line="600" w:lineRule="exact"/>
        <w:jc w:val="center"/>
        <w:rPr>
          <w:rStyle w:val="10"/>
          <w:rFonts w:hint="eastAsia"/>
          <w:sz w:val="44"/>
          <w:szCs w:val="44"/>
        </w:rPr>
      </w:pPr>
      <w:r>
        <w:rPr>
          <w:rStyle w:val="10"/>
          <w:sz w:val="44"/>
          <w:szCs w:val="44"/>
        </w:rPr>
        <w:t>黔东南苗族侗族自治州委员会</w:t>
      </w:r>
    </w:p>
    <w:p>
      <w:pPr>
        <w:pStyle w:val="14"/>
        <w:spacing w:before="0" w:beforeAutospacing="0" w:after="0" w:afterAutospacing="0" w:line="600" w:lineRule="exact"/>
        <w:jc w:val="center"/>
        <w:rPr>
          <w:rStyle w:val="10"/>
          <w:rFonts w:hint="eastAsia"/>
          <w:sz w:val="44"/>
          <w:szCs w:val="44"/>
        </w:rPr>
      </w:pPr>
      <w:r>
        <w:rPr>
          <w:rStyle w:val="10"/>
          <w:sz w:val="44"/>
          <w:szCs w:val="44"/>
        </w:rPr>
        <w:t>提</w:t>
      </w:r>
      <w:r>
        <w:rPr>
          <w:rStyle w:val="10"/>
          <w:rFonts w:hint="eastAsia"/>
          <w:sz w:val="44"/>
          <w:szCs w:val="44"/>
        </w:rPr>
        <w:t xml:space="preserve">   </w:t>
      </w:r>
      <w:r>
        <w:rPr>
          <w:rStyle w:val="10"/>
          <w:sz w:val="44"/>
          <w:szCs w:val="44"/>
        </w:rPr>
        <w:t>案</w:t>
      </w:r>
    </w:p>
    <w:p>
      <w:pPr>
        <w:spacing w:line="320" w:lineRule="exact"/>
        <w:jc w:val="center"/>
        <w:textAlignment w:val="top"/>
        <w:rPr>
          <w:rStyle w:val="10"/>
          <w:rFonts w:hint="eastAsia" w:ascii="宋体" w:hAnsi="宋体"/>
          <w:kern w:val="0"/>
          <w:sz w:val="24"/>
        </w:rPr>
      </w:pPr>
    </w:p>
    <w:p>
      <w:pPr>
        <w:spacing w:line="320" w:lineRule="exact"/>
        <w:jc w:val="center"/>
        <w:textAlignment w:val="top"/>
        <w:rPr>
          <w:rStyle w:val="10"/>
          <w:rFonts w:hint="eastAsia" w:ascii="宋体" w:hAnsi="宋体"/>
          <w:kern w:val="0"/>
          <w:sz w:val="24"/>
        </w:rPr>
      </w:pPr>
    </w:p>
    <w:p>
      <w:pPr>
        <w:spacing w:line="760" w:lineRule="exact"/>
        <w:jc w:val="both"/>
        <w:textAlignment w:val="top"/>
        <w:rPr>
          <w:rStyle w:val="10"/>
          <w:rFonts w:ascii="宋体" w:hAnsi="宋体"/>
          <w:kern w:val="0"/>
          <w:sz w:val="24"/>
        </w:rPr>
      </w:pPr>
      <w:r>
        <w:rPr>
          <w:rStyle w:val="10"/>
          <w:rFonts w:ascii="宋体" w:hAnsi="宋体"/>
          <w:kern w:val="0"/>
          <w:sz w:val="24"/>
        </w:rPr>
        <mc:AlternateContent>
          <mc:Choice Requires="wps">
            <w:drawing>
              <wp:inline distT="0" distB="0" distL="114300" distR="114300">
                <wp:extent cx="5212080" cy="35560"/>
                <wp:effectExtent l="0" t="0" r="7620" b="2540"/>
                <wp:docPr id="1" name="矩形 1"/>
                <wp:cNvGraphicFramePr/>
                <a:graphic xmlns:a="http://schemas.openxmlformats.org/drawingml/2006/main">
                  <a:graphicData uri="http://schemas.microsoft.com/office/word/2010/wordprocessingShape">
                    <wps:wsp>
                      <wps:cNvSpPr/>
                      <wps:spPr>
                        <a:xfrm>
                          <a:off x="0" y="0"/>
                          <a:ext cx="5212080" cy="35560"/>
                        </a:xfrm>
                        <a:prstGeom prst="rect">
                          <a:avLst/>
                        </a:prstGeom>
                        <a:solidFill>
                          <a:srgbClr val="ACA899"/>
                        </a:solidFill>
                        <a:ln>
                          <a:noFill/>
                        </a:ln>
                        <a:effectLst/>
                      </wps:spPr>
                      <wps:txbx>
                        <w:txbxContent>
                          <w:p/>
                        </w:txbxContent>
                      </wps:txbx>
                      <wps:bodyPr upright="1"/>
                    </wps:wsp>
                  </a:graphicData>
                </a:graphic>
              </wp:inline>
            </w:drawing>
          </mc:Choice>
          <mc:Fallback>
            <w:pict>
              <v:rect id="_x0000_s1026" o:spid="_x0000_s1026" o:spt="1" style="height:2.8pt;width:410.4pt;" fillcolor="#ACA899" filled="t" stroked="f" coordsize="21600,21600" o:gfxdata="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K3ccfDTAAAAAwEAAA8AAAAAAAAAAQAgAAAAIgAAAGRycy9kb3ducmV2LnhtbFBLAQIU&#10;ABQAAAAIAIdO4kC+6oZlvwEAAHcDAAAOAAAAAAAAAAEAIAAAACIBAABkcnMvZTJvRG9jLnhtbFBL&#10;BQYAAAAABgAGAFkBAABTBQAAAAA=&#10;">
                <v:fill on="t" focussize="0,0"/>
                <v:stroke on="f"/>
                <v:imagedata o:title=""/>
                <o:lock v:ext="edit" aspectratio="f"/>
                <v:textbox>
                  <w:txbxContent>
                    <w:p/>
                  </w:txbxContent>
                </v:textbox>
                <w10:wrap type="none"/>
                <w10:anchorlock/>
              </v:rect>
            </w:pict>
          </mc:Fallback>
        </mc:AlternateContent>
      </w:r>
    </w:p>
    <w:p>
      <w:pPr>
        <w:spacing w:line="320" w:lineRule="exact"/>
        <w:rPr>
          <w:rStyle w:val="10"/>
          <w:rFonts w:hint="default" w:ascii="宋体" w:hAnsi="宋体" w:eastAsia="宋体"/>
          <w:kern w:val="0"/>
          <w:sz w:val="24"/>
          <w:lang w:val="en-US" w:eastAsia="zh-CN"/>
        </w:rPr>
      </w:pPr>
      <w:r>
        <w:rPr>
          <w:rStyle w:val="10"/>
          <w:rFonts w:ascii="宋体" w:hAnsi="宋体"/>
          <w:kern w:val="0"/>
          <w:sz w:val="24"/>
        </w:rPr>
        <w:t>第十</w:t>
      </w:r>
      <w:r>
        <w:rPr>
          <w:rStyle w:val="10"/>
          <w:rFonts w:hint="eastAsia" w:ascii="宋体" w:hAnsi="宋体"/>
          <w:kern w:val="0"/>
          <w:sz w:val="24"/>
          <w:lang w:val="en-US" w:eastAsia="zh-CN"/>
        </w:rPr>
        <w:t>三</w:t>
      </w:r>
      <w:r>
        <w:rPr>
          <w:rStyle w:val="10"/>
          <w:rFonts w:ascii="宋体" w:hAnsi="宋体"/>
          <w:kern w:val="0"/>
          <w:sz w:val="24"/>
        </w:rPr>
        <w:t>届第</w:t>
      </w:r>
      <w:r>
        <w:rPr>
          <w:rStyle w:val="10"/>
          <w:rFonts w:hint="eastAsia" w:ascii="宋体" w:hAnsi="宋体"/>
          <w:kern w:val="0"/>
          <w:sz w:val="24"/>
          <w:lang w:val="en-US" w:eastAsia="zh-CN"/>
        </w:rPr>
        <w:t>一</w:t>
      </w:r>
      <w:r>
        <w:rPr>
          <w:rStyle w:val="10"/>
          <w:rFonts w:ascii="宋体" w:hAnsi="宋体"/>
          <w:kern w:val="0"/>
          <w:sz w:val="24"/>
        </w:rPr>
        <w:t>次会议　       　第</w:t>
      </w:r>
      <w:r>
        <w:rPr>
          <w:rStyle w:val="10"/>
          <w:rFonts w:hint="eastAsia" w:ascii="宋体" w:hAnsi="宋体"/>
          <w:kern w:val="0"/>
          <w:sz w:val="24"/>
          <w:lang w:val="en-US" w:eastAsia="zh-CN"/>
        </w:rPr>
        <w:t>063</w:t>
      </w:r>
      <w:r>
        <w:rPr>
          <w:rStyle w:val="10"/>
          <w:rFonts w:ascii="宋体" w:hAnsi="宋体"/>
          <w:kern w:val="0"/>
          <w:sz w:val="24"/>
        </w:rPr>
        <w:t xml:space="preserve">号　    </w:t>
      </w:r>
      <w:r>
        <w:rPr>
          <w:rStyle w:val="10"/>
          <w:rFonts w:hint="eastAsia" w:ascii="宋体" w:hAnsi="宋体"/>
          <w:kern w:val="0"/>
          <w:sz w:val="24"/>
        </w:rPr>
        <w:t xml:space="preserve">    </w:t>
      </w:r>
      <w:r>
        <w:rPr>
          <w:rStyle w:val="10"/>
          <w:rFonts w:hint="eastAsia" w:ascii="宋体" w:hAnsi="宋体"/>
          <w:kern w:val="0"/>
          <w:sz w:val="24"/>
          <w:lang w:val="en-US" w:eastAsia="zh-CN"/>
        </w:rPr>
        <w:t xml:space="preserve"> 类别：政治建设类     </w:t>
      </w:r>
    </w:p>
    <w:p>
      <w:pPr>
        <w:spacing w:line="320" w:lineRule="exact"/>
        <w:jc w:val="left"/>
        <w:rPr>
          <w:rStyle w:val="10"/>
          <w:rFonts w:ascii="宋体" w:hAnsi="宋体"/>
          <w:kern w:val="0"/>
          <w:sz w:val="24"/>
        </w:rPr>
      </w:pPr>
      <w:r>
        <w:rPr>
          <w:rStyle w:val="10"/>
          <w:rFonts w:ascii="宋体" w:hAnsi="宋体"/>
          <w:kern w:val="0"/>
          <w:sz w:val="24"/>
        </w:rPr>
        <mc:AlternateContent>
          <mc:Choice Requires="wps">
            <w:drawing>
              <wp:inline distT="0" distB="0" distL="114300" distR="114300">
                <wp:extent cx="5274945" cy="38100"/>
                <wp:effectExtent l="0" t="0" r="1905" b="0"/>
                <wp:docPr id="2" name="矩形 2"/>
                <wp:cNvGraphicFramePr/>
                <a:graphic xmlns:a="http://schemas.openxmlformats.org/drawingml/2006/main">
                  <a:graphicData uri="http://schemas.microsoft.com/office/word/2010/wordprocessingShape">
                    <wps:wsp>
                      <wps:cNvSpPr/>
                      <wps:spPr>
                        <a:xfrm>
                          <a:off x="0" y="0"/>
                          <a:ext cx="5274945" cy="38100"/>
                        </a:xfrm>
                        <a:prstGeom prst="rect">
                          <a:avLst/>
                        </a:prstGeom>
                        <a:solidFill>
                          <a:srgbClr val="ACA899"/>
                        </a:solidFill>
                        <a:ln>
                          <a:noFill/>
                        </a:ln>
                        <a:effectLst/>
                      </wps:spPr>
                      <wps:txbx>
                        <w:txbxContent>
                          <w:p/>
                        </w:txbxContent>
                      </wps:txbx>
                      <wps:bodyPr upright="1"/>
                    </wps:wsp>
                  </a:graphicData>
                </a:graphic>
              </wp:inline>
            </w:drawing>
          </mc:Choice>
          <mc:Fallback>
            <w:pict>
              <v:rect id="_x0000_s1026" o:spid="_x0000_s1026" o:spt="1" style="height:3pt;width:415.35pt;" fillcolor="#ACA899" filled="t" stroked="f" coordsize="21600,21600" o:gfxdata="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zMVtO0wAAAAMBAAAPAAAAAAAAAAEAIAAAACIAAABkcnMvZG93bnJldi54bWxQSwEC&#10;FAAUAAAACACHTuJApo3SZ8ABAAB3AwAADgAAAAAAAAABACAAAAAiAQAAZHJzL2Uyb0RvYy54bWxQ&#10;SwUGAAAAAAYABgBZAQAAVAUAAAAA&#10;">
                <v:fill on="t" focussize="0,0"/>
                <v:stroke on="f"/>
                <v:imagedata o:title=""/>
                <o:lock v:ext="edit" aspectratio="f"/>
                <v:textbox>
                  <w:txbxContent>
                    <w:p/>
                  </w:txbxContent>
                </v:textbox>
                <w10:wrap type="none"/>
                <w10:anchorlock/>
              </v:rect>
            </w:pict>
          </mc:Fallback>
        </mc:AlternateContent>
      </w:r>
    </w:p>
    <w:tbl>
      <w:tblPr>
        <w:tblStyle w:val="6"/>
        <w:tblW w:w="8550" w:type="dxa"/>
        <w:tblInd w:w="0" w:type="dxa"/>
        <w:tblLayout w:type="fixed"/>
        <w:tblCellMar>
          <w:top w:w="0" w:type="dxa"/>
          <w:left w:w="15" w:type="dxa"/>
          <w:bottom w:w="0" w:type="dxa"/>
          <w:right w:w="15" w:type="dxa"/>
        </w:tblCellMar>
      </w:tblPr>
      <w:tblGrid>
        <w:gridCol w:w="1753"/>
        <w:gridCol w:w="3872"/>
        <w:gridCol w:w="1440"/>
        <w:gridCol w:w="1485"/>
      </w:tblGrid>
      <w:tr>
        <w:tblPrEx>
          <w:tblCellMar>
            <w:top w:w="0" w:type="dxa"/>
            <w:left w:w="15" w:type="dxa"/>
            <w:bottom w:w="0" w:type="dxa"/>
            <w:right w:w="15" w:type="dxa"/>
          </w:tblCellMar>
        </w:tblPrEx>
        <w:tc>
          <w:tcPr>
            <w:tcW w:w="1753" w:type="dxa"/>
            <w:vAlign w:val="center"/>
          </w:tcPr>
          <w:p>
            <w:pPr>
              <w:jc w:val="left"/>
              <w:rPr>
                <w:rStyle w:val="10"/>
                <w:rFonts w:ascii="宋体" w:hAnsi="宋体"/>
                <w:kern w:val="0"/>
                <w:sz w:val="24"/>
              </w:rPr>
            </w:pPr>
            <w:r>
              <w:rPr>
                <w:rStyle w:val="10"/>
                <w:rFonts w:ascii="黑体" w:hAnsi="宋体" w:eastAsia="黑体" w:cs="宋体"/>
                <w:b/>
                <w:bCs/>
                <w:kern w:val="0"/>
                <w:sz w:val="24"/>
              </w:rPr>
              <w:t>案</w:t>
            </w:r>
            <w:r>
              <w:rPr>
                <w:rStyle w:val="10"/>
                <w:rFonts w:ascii="宋体" w:hAnsi="宋体" w:eastAsia="黑体" w:cs="宋体"/>
                <w:b/>
                <w:bCs/>
                <w:kern w:val="0"/>
                <w:sz w:val="24"/>
              </w:rPr>
              <w:t>  </w:t>
            </w:r>
            <w:r>
              <w:rPr>
                <w:rStyle w:val="10"/>
                <w:rFonts w:ascii="黑体" w:hAnsi="宋体" w:eastAsia="黑体" w:cs="宋体"/>
                <w:b/>
                <w:bCs/>
                <w:kern w:val="0"/>
                <w:sz w:val="24"/>
              </w:rPr>
              <w:t>由</w:t>
            </w:r>
            <w:r>
              <w:rPr>
                <w:rStyle w:val="10"/>
                <w:rFonts w:ascii="宋体" w:hAnsi="宋体" w:cs="宋体"/>
                <w:b/>
                <w:bCs/>
                <w:kern w:val="0"/>
                <w:sz w:val="24"/>
              </w:rPr>
              <w:t>：</w:t>
            </w:r>
          </w:p>
        </w:tc>
        <w:tc>
          <w:tcPr>
            <w:tcW w:w="6797" w:type="dxa"/>
            <w:gridSpan w:val="3"/>
            <w:vAlign w:val="center"/>
          </w:tcPr>
          <w:p>
            <w:pPr>
              <w:jc w:val="left"/>
              <w:rPr>
                <w:rStyle w:val="10"/>
                <w:rFonts w:ascii="宋体" w:hAnsi="宋体" w:cs="宋体"/>
                <w:b/>
                <w:bCs/>
                <w:kern w:val="0"/>
                <w:sz w:val="24"/>
              </w:rPr>
            </w:pPr>
            <w:r>
              <w:rPr>
                <w:rStyle w:val="10"/>
                <w:rFonts w:hint="eastAsia" w:ascii="宋体" w:hAnsi="宋体" w:cs="宋体"/>
                <w:b/>
                <w:bCs/>
                <w:kern w:val="0"/>
                <w:sz w:val="24"/>
              </w:rPr>
              <w:t>关于加强对专业技术人才后续保障工作的建议</w:t>
            </w:r>
          </w:p>
        </w:tc>
      </w:tr>
      <w:tr>
        <w:tblPrEx>
          <w:tblCellMar>
            <w:top w:w="0" w:type="dxa"/>
            <w:left w:w="15" w:type="dxa"/>
            <w:bottom w:w="0" w:type="dxa"/>
            <w:right w:w="15" w:type="dxa"/>
          </w:tblCellMar>
        </w:tblPrEx>
        <w:tc>
          <w:tcPr>
            <w:tcW w:w="1753" w:type="dxa"/>
            <w:vAlign w:val="center"/>
          </w:tcPr>
          <w:p>
            <w:pPr>
              <w:jc w:val="left"/>
              <w:rPr>
                <w:rStyle w:val="10"/>
                <w:rFonts w:ascii="宋体" w:hAnsi="宋体"/>
                <w:kern w:val="0"/>
                <w:sz w:val="24"/>
              </w:rPr>
            </w:pPr>
            <w:r>
              <w:rPr>
                <w:rStyle w:val="10"/>
                <w:rFonts w:ascii="黑体" w:hAnsi="宋体" w:eastAsia="黑体" w:cs="宋体"/>
                <w:b/>
                <w:bCs/>
                <w:kern w:val="0"/>
                <w:sz w:val="24"/>
              </w:rPr>
              <w:t>审查意见</w:t>
            </w:r>
            <w:r>
              <w:rPr>
                <w:rStyle w:val="10"/>
                <w:rFonts w:ascii="宋体" w:hAnsi="宋体" w:cs="宋体"/>
                <w:b/>
                <w:bCs/>
                <w:kern w:val="0"/>
                <w:sz w:val="24"/>
              </w:rPr>
              <w:t>：</w:t>
            </w:r>
          </w:p>
        </w:tc>
        <w:tc>
          <w:tcPr>
            <w:tcW w:w="6797" w:type="dxa"/>
            <w:gridSpan w:val="3"/>
            <w:vAlign w:val="center"/>
          </w:tcPr>
          <w:p>
            <w:pPr>
              <w:jc w:val="left"/>
              <w:rPr>
                <w:rStyle w:val="10"/>
                <w:rFonts w:hint="default" w:ascii="宋体" w:hAnsi="宋体" w:eastAsia="宋体"/>
                <w:kern w:val="0"/>
                <w:sz w:val="24"/>
                <w:lang w:val="en-US" w:eastAsia="zh-CN"/>
              </w:rPr>
            </w:pPr>
            <w:r>
              <w:rPr>
                <w:rStyle w:val="10"/>
                <w:rFonts w:hint="eastAsia" w:ascii="宋体" w:hAnsi="宋体"/>
                <w:kern w:val="0"/>
                <w:sz w:val="24"/>
                <w:lang w:eastAsia="zh-CN"/>
              </w:rPr>
              <w:t>主办：</w:t>
            </w:r>
            <w:r>
              <w:rPr>
                <w:rStyle w:val="10"/>
                <w:rFonts w:hint="eastAsia" w:ascii="宋体" w:hAnsi="宋体"/>
                <w:kern w:val="0"/>
                <w:sz w:val="24"/>
                <w:lang w:val="en-US" w:eastAsia="zh-CN"/>
              </w:rPr>
              <w:t>州人社局 会办：</w:t>
            </w:r>
          </w:p>
        </w:tc>
      </w:tr>
      <w:tr>
        <w:tblPrEx>
          <w:tblCellMar>
            <w:top w:w="0" w:type="dxa"/>
            <w:left w:w="15" w:type="dxa"/>
            <w:bottom w:w="0" w:type="dxa"/>
            <w:right w:w="15" w:type="dxa"/>
          </w:tblCellMar>
        </w:tblPrEx>
        <w:tc>
          <w:tcPr>
            <w:tcW w:w="1753" w:type="dxa"/>
            <w:vAlign w:val="center"/>
          </w:tcPr>
          <w:p>
            <w:pPr>
              <w:jc w:val="left"/>
              <w:rPr>
                <w:rStyle w:val="10"/>
                <w:rFonts w:ascii="黑体" w:hAnsi="宋体" w:eastAsia="黑体"/>
                <w:kern w:val="0"/>
                <w:sz w:val="24"/>
              </w:rPr>
            </w:pPr>
            <w:r>
              <w:rPr>
                <w:rStyle w:val="10"/>
                <w:rFonts w:ascii="黑体" w:hAnsi="宋体" w:eastAsia="黑体" w:cs="宋体"/>
                <w:b/>
                <w:bCs/>
                <w:kern w:val="0"/>
                <w:sz w:val="24"/>
              </w:rPr>
              <w:t>提</w:t>
            </w:r>
            <w:r>
              <w:rPr>
                <w:rStyle w:val="10"/>
                <w:rFonts w:ascii="宋体" w:hAnsi="宋体" w:eastAsia="黑体" w:cs="宋体"/>
                <w:b/>
                <w:bCs/>
                <w:kern w:val="0"/>
                <w:sz w:val="24"/>
              </w:rPr>
              <w:t> </w:t>
            </w:r>
            <w:r>
              <w:rPr>
                <w:rStyle w:val="10"/>
                <w:rFonts w:ascii="黑体" w:hAnsi="宋体" w:eastAsia="黑体" w:cs="宋体"/>
                <w:b/>
                <w:bCs/>
                <w:kern w:val="0"/>
                <w:sz w:val="24"/>
              </w:rPr>
              <w:t>案人</w:t>
            </w:r>
            <w:r>
              <w:rPr>
                <w:rStyle w:val="10"/>
                <w:rFonts w:ascii="宋体" w:hAnsi="宋体" w:eastAsia="黑体" w:cs="宋体"/>
                <w:b/>
                <w:bCs/>
                <w:kern w:val="0"/>
                <w:sz w:val="24"/>
              </w:rPr>
              <w:t>：</w:t>
            </w:r>
          </w:p>
        </w:tc>
        <w:tc>
          <w:tcPr>
            <w:tcW w:w="3872" w:type="dxa"/>
            <w:vAlign w:val="center"/>
          </w:tcPr>
          <w:p>
            <w:pPr>
              <w:jc w:val="left"/>
              <w:rPr>
                <w:rStyle w:val="10"/>
                <w:rFonts w:ascii="宋体" w:hAnsi="宋体"/>
                <w:kern w:val="0"/>
                <w:sz w:val="24"/>
              </w:rPr>
            </w:pPr>
            <w:r>
              <w:rPr>
                <w:rStyle w:val="10"/>
                <w:rFonts w:ascii="宋体" w:hAnsi="宋体" w:cs="宋体"/>
                <w:b/>
                <w:bCs/>
                <w:kern w:val="0"/>
                <w:sz w:val="24"/>
                <w:highlight w:val="none"/>
              </w:rPr>
              <w:t>通讯地址</w:t>
            </w:r>
          </w:p>
        </w:tc>
        <w:tc>
          <w:tcPr>
            <w:tcW w:w="1440" w:type="dxa"/>
            <w:vAlign w:val="center"/>
          </w:tcPr>
          <w:p>
            <w:pPr>
              <w:jc w:val="left"/>
              <w:rPr>
                <w:rStyle w:val="10"/>
                <w:rFonts w:ascii="宋体" w:hAnsi="宋体"/>
                <w:kern w:val="0"/>
                <w:sz w:val="24"/>
              </w:rPr>
            </w:pPr>
            <w:r>
              <w:rPr>
                <w:rStyle w:val="10"/>
                <w:rFonts w:ascii="宋体" w:hAnsi="宋体" w:cs="宋体"/>
                <w:b/>
                <w:bCs/>
                <w:kern w:val="0"/>
                <w:sz w:val="24"/>
              </w:rPr>
              <w:t>邮政编码</w:t>
            </w:r>
          </w:p>
        </w:tc>
        <w:tc>
          <w:tcPr>
            <w:tcW w:w="1485" w:type="dxa"/>
            <w:vAlign w:val="center"/>
          </w:tcPr>
          <w:p>
            <w:pPr>
              <w:jc w:val="left"/>
              <w:rPr>
                <w:rStyle w:val="10"/>
                <w:rFonts w:ascii="宋体" w:hAnsi="宋体"/>
                <w:kern w:val="0"/>
                <w:sz w:val="24"/>
              </w:rPr>
            </w:pPr>
            <w:r>
              <w:rPr>
                <w:rStyle w:val="10"/>
                <w:rFonts w:ascii="宋体" w:hAnsi="宋体" w:cs="宋体"/>
                <w:b/>
                <w:bCs/>
                <w:kern w:val="0"/>
                <w:sz w:val="24"/>
              </w:rPr>
              <w:t>联系电话</w:t>
            </w:r>
          </w:p>
        </w:tc>
      </w:tr>
      <w:tr>
        <w:tc>
          <w:tcPr>
            <w:tcW w:w="1753" w:type="dxa"/>
            <w:vAlign w:val="center"/>
          </w:tcPr>
          <w:p>
            <w:pPr>
              <w:jc w:val="left"/>
              <w:rPr>
                <w:rStyle w:val="10"/>
                <w:rFonts w:ascii="宋体" w:hAnsi="宋体"/>
                <w:kern w:val="0"/>
                <w:sz w:val="24"/>
              </w:rPr>
            </w:pPr>
            <w:r>
              <w:rPr>
                <w:rStyle w:val="10"/>
                <w:rFonts w:hint="eastAsia" w:ascii="宋体" w:hAnsi="宋体"/>
                <w:kern w:val="0"/>
                <w:sz w:val="24"/>
              </w:rPr>
              <w:t>吴艳金</w:t>
            </w:r>
          </w:p>
        </w:tc>
        <w:tc>
          <w:tcPr>
            <w:tcW w:w="3872" w:type="dxa"/>
            <w:vAlign w:val="center"/>
          </w:tcPr>
          <w:p>
            <w:pPr>
              <w:widowControl/>
              <w:jc w:val="left"/>
              <w:rPr>
                <w:rStyle w:val="10"/>
                <w:rFonts w:hint="eastAsia" w:ascii="宋体" w:hAnsi="宋体" w:eastAsia="宋体"/>
                <w:kern w:val="0"/>
                <w:sz w:val="24"/>
                <w:lang w:val="en-US" w:eastAsia="zh-CN"/>
              </w:rPr>
            </w:pPr>
            <w:r>
              <w:rPr>
                <w:rStyle w:val="10"/>
                <w:rFonts w:hint="eastAsia" w:ascii="宋体" w:hAnsi="宋体" w:eastAsia="宋体"/>
                <w:kern w:val="0"/>
                <w:sz w:val="24"/>
                <w:lang w:val="en-US" w:eastAsia="zh-CN"/>
              </w:rPr>
              <w:t>榕江县水尾水族乡人力资源和社会保障服务中心</w:t>
            </w:r>
          </w:p>
        </w:tc>
        <w:tc>
          <w:tcPr>
            <w:tcW w:w="1440" w:type="dxa"/>
            <w:vAlign w:val="center"/>
          </w:tcPr>
          <w:p>
            <w:pPr>
              <w:widowControl/>
              <w:jc w:val="left"/>
              <w:rPr>
                <w:rStyle w:val="10"/>
                <w:rFonts w:hint="default" w:ascii="宋体" w:hAnsi="宋体" w:eastAsia="宋体"/>
                <w:kern w:val="0"/>
                <w:sz w:val="24"/>
                <w:lang w:val="en-US" w:eastAsia="zh-CN"/>
              </w:rPr>
            </w:pPr>
            <w:r>
              <w:rPr>
                <w:rFonts w:hint="default" w:ascii="Times New Roman" w:hAnsi="Times New Roman" w:cs="Times New Roman"/>
                <w:kern w:val="0"/>
                <w:sz w:val="24"/>
              </w:rPr>
              <w:t xml:space="preserve"> 557200</w:t>
            </w:r>
            <w:bookmarkStart w:id="0" w:name="_GoBack"/>
            <w:bookmarkEnd w:id="0"/>
          </w:p>
        </w:tc>
        <w:tc>
          <w:tcPr>
            <w:tcW w:w="1485" w:type="dxa"/>
            <w:vAlign w:val="center"/>
          </w:tcPr>
          <w:p>
            <w:pPr>
              <w:widowControl/>
              <w:jc w:val="left"/>
              <w:rPr>
                <w:rStyle w:val="10"/>
                <w:rFonts w:hint="default" w:ascii="宋体" w:hAnsi="宋体" w:eastAsia="宋体"/>
                <w:kern w:val="0"/>
                <w:sz w:val="24"/>
                <w:lang w:val="en-US" w:eastAsia="zh-CN"/>
              </w:rPr>
            </w:pPr>
            <w:r>
              <w:rPr>
                <w:rStyle w:val="10"/>
                <w:rFonts w:hint="default" w:ascii="宋体" w:hAnsi="宋体" w:eastAsia="宋体"/>
                <w:kern w:val="0"/>
                <w:sz w:val="24"/>
                <w:lang w:val="en-US" w:eastAsia="zh-CN"/>
              </w:rPr>
              <w:t>15885833905</w:t>
            </w:r>
          </w:p>
        </w:tc>
      </w:tr>
      <w:tr>
        <w:tblPrEx>
          <w:tblCellMar>
            <w:top w:w="0" w:type="dxa"/>
            <w:left w:w="15" w:type="dxa"/>
            <w:bottom w:w="0" w:type="dxa"/>
            <w:right w:w="15" w:type="dxa"/>
          </w:tblCellMar>
        </w:tblPrEx>
        <w:tc>
          <w:tcPr>
            <w:tcW w:w="1753" w:type="dxa"/>
            <w:vAlign w:val="center"/>
          </w:tcPr>
          <w:p>
            <w:pPr>
              <w:jc w:val="left"/>
              <w:rPr>
                <w:rStyle w:val="10"/>
                <w:rFonts w:hint="eastAsia" w:ascii="宋体" w:hAnsi="宋体" w:eastAsia="宋体"/>
                <w:kern w:val="0"/>
                <w:sz w:val="24"/>
                <w:lang w:eastAsia="zh-CN"/>
              </w:rPr>
            </w:pPr>
            <w:r>
              <w:rPr>
                <w:rStyle w:val="10"/>
                <w:rFonts w:hint="eastAsia" w:ascii="黑体" w:hAnsi="宋体" w:eastAsia="黑体" w:cs="宋体"/>
                <w:b/>
                <w:bCs/>
                <w:kern w:val="0"/>
                <w:sz w:val="24"/>
                <w:szCs w:val="22"/>
                <w:lang w:eastAsia="zh-CN"/>
              </w:rPr>
              <w:t>工作联系电话：</w:t>
            </w:r>
          </w:p>
        </w:tc>
        <w:tc>
          <w:tcPr>
            <w:tcW w:w="6797" w:type="dxa"/>
            <w:gridSpan w:val="3"/>
            <w:vAlign w:val="center"/>
          </w:tcPr>
          <w:p>
            <w:pPr>
              <w:jc w:val="left"/>
              <w:rPr>
                <w:rStyle w:val="10"/>
                <w:rFonts w:hint="eastAsia" w:ascii="宋体" w:hAnsi="宋体"/>
                <w:kern w:val="0"/>
                <w:sz w:val="24"/>
                <w:lang w:val="en-US" w:eastAsia="zh-CN"/>
              </w:rPr>
            </w:pPr>
            <w:r>
              <w:rPr>
                <w:rStyle w:val="10"/>
                <w:rFonts w:hint="eastAsia" w:ascii="宋体" w:hAnsi="宋体"/>
                <w:kern w:val="0"/>
                <w:sz w:val="24"/>
                <w:lang w:eastAsia="zh-CN"/>
              </w:rPr>
              <w:t>州委办秘书五科：</w:t>
            </w:r>
            <w:r>
              <w:rPr>
                <w:rStyle w:val="10"/>
                <w:rFonts w:hint="eastAsia" w:ascii="宋体" w:hAnsi="宋体"/>
                <w:kern w:val="0"/>
                <w:sz w:val="24"/>
                <w:lang w:val="en-US" w:eastAsia="zh-CN"/>
              </w:rPr>
              <w:t>8270060；</w:t>
            </w:r>
            <w:r>
              <w:rPr>
                <w:rStyle w:val="10"/>
                <w:rFonts w:hint="eastAsia" w:ascii="宋体" w:hAnsi="宋体"/>
                <w:kern w:val="0"/>
                <w:sz w:val="24"/>
                <w:lang w:eastAsia="zh-CN"/>
              </w:rPr>
              <w:t>州政府办建议提案科：</w:t>
            </w:r>
            <w:r>
              <w:rPr>
                <w:rStyle w:val="10"/>
                <w:rFonts w:hint="eastAsia" w:ascii="宋体" w:hAnsi="宋体"/>
                <w:kern w:val="0"/>
                <w:sz w:val="24"/>
                <w:lang w:val="en-US" w:eastAsia="zh-CN"/>
              </w:rPr>
              <w:t>8260016；</w:t>
            </w:r>
          </w:p>
          <w:p>
            <w:pPr>
              <w:jc w:val="left"/>
              <w:rPr>
                <w:rStyle w:val="10"/>
                <w:rFonts w:hint="default" w:ascii="宋体" w:hAnsi="宋体"/>
                <w:kern w:val="0"/>
                <w:sz w:val="24"/>
                <w:lang w:val="en-US"/>
              </w:rPr>
            </w:pPr>
            <w:r>
              <w:rPr>
                <w:rStyle w:val="10"/>
                <w:rFonts w:hint="eastAsia" w:ascii="宋体" w:hAnsi="宋体"/>
                <w:kern w:val="0"/>
                <w:sz w:val="24"/>
                <w:lang w:eastAsia="zh-CN"/>
              </w:rPr>
              <w:t>州政协提案委：</w:t>
            </w:r>
            <w:r>
              <w:rPr>
                <w:rStyle w:val="10"/>
                <w:rFonts w:hint="eastAsia" w:ascii="宋体" w:hAnsi="宋体"/>
                <w:kern w:val="0"/>
                <w:sz w:val="24"/>
                <w:lang w:val="en-US" w:eastAsia="zh-CN"/>
              </w:rPr>
              <w:t>8428866</w:t>
            </w:r>
            <w:r>
              <w:rPr>
                <w:rStyle w:val="10"/>
                <w:rFonts w:hint="eastAsia" w:ascii="宋体" w:hAnsi="宋体"/>
                <w:kern w:val="0"/>
                <w:sz w:val="24"/>
                <w:lang w:eastAsia="zh-CN"/>
              </w:rPr>
              <w:t>。</w:t>
            </w:r>
          </w:p>
        </w:tc>
      </w:tr>
    </w:tbl>
    <w:p>
      <w:pPr>
        <w:jc w:val="left"/>
        <w:rPr>
          <w:rStyle w:val="10"/>
          <w:rFonts w:ascii="宋体" w:hAnsi="宋体"/>
          <w:kern w:val="0"/>
          <w:sz w:val="24"/>
        </w:rPr>
      </w:pPr>
      <w:r>
        <w:rPr>
          <w:rStyle w:val="10"/>
          <w:rFonts w:ascii="宋体" w:hAnsi="宋体"/>
          <w:kern w:val="0"/>
          <w:sz w:val="24"/>
        </w:rPr>
        <mc:AlternateContent>
          <mc:Choice Requires="wps">
            <w:drawing>
              <wp:inline distT="0" distB="0" distL="114300" distR="114300">
                <wp:extent cx="5212080" cy="35560"/>
                <wp:effectExtent l="0" t="0" r="7620" b="2540"/>
                <wp:docPr id="3" name="矩形 3"/>
                <wp:cNvGraphicFramePr/>
                <a:graphic xmlns:a="http://schemas.openxmlformats.org/drawingml/2006/main">
                  <a:graphicData uri="http://schemas.microsoft.com/office/word/2010/wordprocessingShape">
                    <wps:wsp>
                      <wps:cNvSpPr/>
                      <wps:spPr>
                        <a:xfrm>
                          <a:off x="0" y="0"/>
                          <a:ext cx="5212080" cy="35560"/>
                        </a:xfrm>
                        <a:prstGeom prst="rect">
                          <a:avLst/>
                        </a:prstGeom>
                        <a:solidFill>
                          <a:srgbClr val="ACA899"/>
                        </a:solidFill>
                        <a:ln>
                          <a:noFill/>
                        </a:ln>
                        <a:effectLst/>
                      </wps:spPr>
                      <wps:txbx>
                        <w:txbxContent>
                          <w:p/>
                        </w:txbxContent>
                      </wps:txbx>
                      <wps:bodyPr upright="1"/>
                    </wps:wsp>
                  </a:graphicData>
                </a:graphic>
              </wp:inline>
            </w:drawing>
          </mc:Choice>
          <mc:Fallback>
            <w:pict>
              <v:rect id="_x0000_s1026" o:spid="_x0000_s1026" o:spt="1" style="height:2.8pt;width:410.4pt;" fillcolor="#ACA899" filled="t" stroked="f" coordsize="21600,21600" o:gfxdata="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K3ccfDTAAAAAwEAAA8AAAAAAAAAAQAgAAAAIgAAAGRycy9kb3ducmV2LnhtbFBLAQIU&#10;ABQAAAAIAIdO4kBCLY2xvwEAAHcDAAAOAAAAAAAAAAEAIAAAACIBAABkcnMvZTJvRG9jLnhtbFBL&#10;BQYAAAAABgAGAFkBAABTBQAAAAA=&#10;">
                <v:fill on="t" focussize="0,0"/>
                <v:stroke on="f"/>
                <v:imagedata o:title=""/>
                <o:lock v:ext="edit" aspectratio="f"/>
                <v:textbox>
                  <w:txbxContent>
                    <w:p/>
                  </w:txbxContent>
                </v:textbox>
                <w10:wrap type="none"/>
                <w10:anchorlock/>
              </v:rect>
            </w:pict>
          </mc:Fallback>
        </mc:AlternateContent>
      </w:r>
    </w:p>
    <w:p>
      <w:pPr>
        <w:spacing w:line="560" w:lineRule="exact"/>
        <w:rPr>
          <w:rStyle w:val="10"/>
          <w:rFonts w:hint="eastAsia" w:ascii="仿宋_GB2312" w:hAnsi="宋体" w:eastAsia="仿宋_GB2312"/>
          <w:kern w:val="0"/>
          <w:sz w:val="32"/>
          <w:szCs w:val="32"/>
        </w:rPr>
      </w:pPr>
      <w:r>
        <w:rPr>
          <w:rStyle w:val="10"/>
          <w:rFonts w:hint="eastAsia" w:ascii="仿宋_GB2312" w:hAnsi="宋体" w:eastAsia="仿宋_GB2312"/>
          <w:kern w:val="0"/>
          <w:sz w:val="32"/>
          <w:szCs w:val="32"/>
        </w:rPr>
        <w:t>内容和办法</w:t>
      </w:r>
      <w:r>
        <w:rPr>
          <w:rStyle w:val="10"/>
          <w:rFonts w:hint="eastAsia" w:ascii="仿宋_GB2312" w:hAnsi="宋体" w:eastAsia="仿宋_GB2312"/>
          <w:kern w:val="0"/>
          <w:sz w:val="32"/>
          <w:szCs w:val="32"/>
          <w:lang w:eastAsia="zh-CN"/>
        </w:rPr>
        <w:t>：</w:t>
      </w:r>
    </w:p>
    <w:p>
      <w:pPr>
        <w:spacing w:line="560" w:lineRule="exact"/>
        <w:ind w:firstLine="640" w:firstLineChars="200"/>
        <w:rPr>
          <w:rFonts w:hint="eastAsia" w:ascii="仿宋" w:hAnsi="仿宋" w:eastAsia="仿宋" w:cs="仿宋"/>
          <w:color w:val="333333"/>
          <w:sz w:val="32"/>
          <w:szCs w:val="32"/>
          <w:shd w:val="clear" w:color="auto" w:fill="FFFFFF"/>
          <w:lang w:val="en-US" w:eastAsia="zh-CN"/>
        </w:rPr>
      </w:pPr>
      <w:r>
        <w:rPr>
          <w:rFonts w:hint="eastAsia" w:ascii="仿宋" w:hAnsi="仿宋" w:eastAsia="仿宋" w:cs="仿宋"/>
          <w:color w:val="333333"/>
          <w:sz w:val="32"/>
          <w:szCs w:val="32"/>
          <w:shd w:val="clear" w:color="auto" w:fill="FFFFFF"/>
          <w:lang w:val="en-US" w:eastAsia="zh-CN"/>
        </w:rPr>
        <w:t xml:space="preserve">每年，全州各县市在招聘前，各用人单位结合实际情况，填报部分专业技术岗位，便于用人单位开展日常业务工作需要，更好的服务广大群众。据了解，每年招聘专业技术人员，有部分专业技术人员能够从事与专业相关的工作内容，还有部分专业技术岗位人员从事与本专业无关的工作内容，极大的遏制了专业技术人员技能的发挥，同时也影响专业技术人员职级晋升，侧面导致人才队伍的流失。此外，专业技术人员在开展职称评定时，需要提供每年继续教育学习学时登记情况，公需科目继续教育24分只占总学时的30%，而剩余的专业学时66分，由于人社部门、行业部门组织的专业技术类培训十分少，因此，专业学时很难得到上级认可，不利于专业技术人员开展职称评定登记。 </w:t>
      </w:r>
    </w:p>
    <w:p>
      <w:pPr>
        <w:spacing w:line="560" w:lineRule="exact"/>
        <w:ind w:firstLine="640" w:firstLineChars="200"/>
        <w:rPr>
          <w:rFonts w:hint="eastAsia" w:ascii="仿宋" w:hAnsi="仿宋" w:eastAsia="仿宋" w:cs="仿宋"/>
          <w:color w:val="333333"/>
          <w:sz w:val="32"/>
          <w:szCs w:val="32"/>
          <w:shd w:val="clear" w:color="auto" w:fill="FFFFFF"/>
          <w:lang w:val="en-US" w:eastAsia="zh-CN"/>
        </w:rPr>
      </w:pPr>
      <w:r>
        <w:rPr>
          <w:rFonts w:hint="eastAsia" w:ascii="仿宋" w:hAnsi="仿宋" w:eastAsia="仿宋" w:cs="仿宋"/>
          <w:color w:val="333333"/>
          <w:sz w:val="32"/>
          <w:szCs w:val="32"/>
          <w:shd w:val="clear" w:color="auto" w:fill="FFFFFF"/>
          <w:lang w:val="en-US" w:eastAsia="zh-CN"/>
        </w:rPr>
        <w:t>建议：</w:t>
      </w:r>
    </w:p>
    <w:p>
      <w:pPr>
        <w:spacing w:line="560" w:lineRule="exact"/>
        <w:ind w:firstLine="640" w:firstLineChars="200"/>
        <w:rPr>
          <w:rFonts w:hint="eastAsia" w:ascii="仿宋" w:hAnsi="仿宋" w:eastAsia="仿宋" w:cs="仿宋"/>
          <w:color w:val="333333"/>
          <w:sz w:val="32"/>
          <w:szCs w:val="32"/>
          <w:shd w:val="clear" w:color="auto" w:fill="FFFFFF"/>
          <w:lang w:val="en-US" w:eastAsia="zh-CN"/>
        </w:rPr>
      </w:pPr>
      <w:r>
        <w:rPr>
          <w:rFonts w:hint="eastAsia" w:ascii="仿宋" w:hAnsi="仿宋" w:eastAsia="仿宋" w:cs="仿宋"/>
          <w:color w:val="333333"/>
          <w:sz w:val="32"/>
          <w:szCs w:val="32"/>
          <w:shd w:val="clear" w:color="auto" w:fill="FFFFFF"/>
          <w:lang w:val="en-US" w:eastAsia="zh-CN"/>
        </w:rPr>
        <w:t>一、规范用人单位招聘，各用人单位在选人用人过程中，结合实际情况，按需招聘。</w:t>
      </w:r>
    </w:p>
    <w:p>
      <w:pPr>
        <w:spacing w:line="560" w:lineRule="exact"/>
        <w:ind w:firstLine="640" w:firstLineChars="200"/>
        <w:rPr>
          <w:rFonts w:hint="eastAsia" w:ascii="仿宋" w:hAnsi="仿宋" w:eastAsia="仿宋" w:cs="仿宋"/>
          <w:color w:val="333333"/>
          <w:sz w:val="32"/>
          <w:szCs w:val="32"/>
          <w:shd w:val="clear" w:color="auto" w:fill="FFFFFF"/>
          <w:lang w:val="en-US" w:eastAsia="zh-CN"/>
        </w:rPr>
      </w:pPr>
      <w:r>
        <w:rPr>
          <w:rFonts w:hint="eastAsia" w:ascii="仿宋" w:hAnsi="仿宋" w:eastAsia="仿宋" w:cs="仿宋"/>
          <w:color w:val="333333"/>
          <w:sz w:val="32"/>
          <w:szCs w:val="32"/>
          <w:shd w:val="clear" w:color="auto" w:fill="FFFFFF"/>
          <w:lang w:val="en-US" w:eastAsia="zh-CN"/>
        </w:rPr>
        <w:t>二、人社部门每年组织专业技术人员参加专业类的培训，同时，行业部门和用人单位要积极支持专业技术人员参加学习教育，便于开展学时登记。</w:t>
      </w:r>
    </w:p>
    <w:p>
      <w:pPr>
        <w:spacing w:line="560" w:lineRule="exact"/>
        <w:ind w:firstLine="640" w:firstLineChars="200"/>
        <w:rPr>
          <w:rFonts w:hint="eastAsia" w:ascii="仿宋" w:hAnsi="仿宋" w:eastAsia="仿宋" w:cs="仿宋"/>
          <w:color w:val="333333"/>
          <w:sz w:val="32"/>
          <w:szCs w:val="32"/>
          <w:shd w:val="clear" w:color="auto" w:fill="FFFFFF"/>
          <w:lang w:val="en-US" w:eastAsia="zh-CN"/>
        </w:rPr>
      </w:pPr>
      <w:r>
        <w:rPr>
          <w:rFonts w:hint="eastAsia" w:ascii="仿宋" w:hAnsi="仿宋" w:eastAsia="仿宋" w:cs="仿宋"/>
          <w:color w:val="333333"/>
          <w:sz w:val="32"/>
          <w:szCs w:val="32"/>
          <w:shd w:val="clear" w:color="auto" w:fill="FFFFFF"/>
          <w:lang w:val="en-US" w:eastAsia="zh-CN"/>
        </w:rPr>
        <w:t>三、人社部门归纳可以纳入专业学时登记的各类培训，发放到各用人单位，便于专业技术人员清晰了解到自己能够作为专业学时登记的培训科目。</w:t>
      </w:r>
    </w:p>
    <w:p>
      <w:pPr>
        <w:spacing w:line="560" w:lineRule="exact"/>
        <w:ind w:firstLine="640" w:firstLineChars="200"/>
        <w:rPr>
          <w:rFonts w:hint="eastAsia" w:ascii="仿宋" w:hAnsi="仿宋" w:eastAsia="仿宋" w:cs="仿宋"/>
          <w:color w:val="333333"/>
          <w:sz w:val="32"/>
          <w:szCs w:val="32"/>
          <w:shd w:val="clear" w:color="auto" w:fill="FFFFFF"/>
          <w:lang w:val="en-US" w:eastAsia="zh-CN"/>
        </w:rPr>
      </w:pPr>
      <w:r>
        <w:rPr>
          <w:rFonts w:hint="eastAsia" w:ascii="仿宋" w:hAnsi="仿宋" w:eastAsia="仿宋" w:cs="仿宋"/>
          <w:color w:val="333333"/>
          <w:sz w:val="32"/>
          <w:szCs w:val="32"/>
          <w:shd w:val="clear" w:color="auto" w:fill="FFFFFF"/>
          <w:lang w:val="en-US" w:eastAsia="zh-CN"/>
        </w:rPr>
        <w:t>四、依托县级中等职业技术学校，建立专业技术人员培训基地。</w:t>
      </w:r>
    </w:p>
    <w:p>
      <w:pPr>
        <w:spacing w:line="560" w:lineRule="exact"/>
        <w:ind w:firstLine="640" w:firstLineChars="200"/>
        <w:rPr>
          <w:rFonts w:hint="default" w:ascii="仿宋" w:hAnsi="仿宋" w:eastAsia="仿宋" w:cs="仿宋"/>
          <w:color w:val="333333"/>
          <w:sz w:val="32"/>
          <w:szCs w:val="32"/>
          <w:shd w:val="clear" w:color="auto" w:fill="FFFFFF"/>
          <w:lang w:val="en-US" w:eastAsia="zh-CN"/>
        </w:rPr>
      </w:pPr>
    </w:p>
    <w:p>
      <w:pPr>
        <w:spacing w:line="560" w:lineRule="exact"/>
        <w:ind w:firstLine="643" w:firstLineChars="200"/>
        <w:rPr>
          <w:rStyle w:val="10"/>
          <w:rFonts w:hint="eastAsia" w:ascii="仿宋" w:hAnsi="仿宋" w:eastAsia="仿宋" w:cs="仿宋"/>
          <w:kern w:val="0"/>
          <w:sz w:val="32"/>
          <w:szCs w:val="32"/>
          <w:lang w:val="en-US" w:eastAsia="zh-CN"/>
        </w:rPr>
      </w:pPr>
      <w:r>
        <w:rPr>
          <w:rStyle w:val="10"/>
          <w:rFonts w:hint="eastAsia" w:ascii="黑体" w:hAnsi="黑体" w:eastAsia="黑体" w:cs="黑体"/>
          <w:b/>
          <w:bCs/>
          <w:kern w:val="0"/>
          <w:sz w:val="32"/>
          <w:szCs w:val="32"/>
          <w:lang w:val="en-US" w:eastAsia="zh-CN"/>
        </w:rPr>
        <w:t>注：</w:t>
      </w:r>
      <w:r>
        <w:rPr>
          <w:rStyle w:val="10"/>
          <w:rFonts w:hint="eastAsia" w:ascii="仿宋" w:hAnsi="仿宋" w:eastAsia="仿宋" w:cs="仿宋"/>
          <w:kern w:val="0"/>
          <w:sz w:val="32"/>
          <w:szCs w:val="32"/>
          <w:lang w:val="en-US" w:eastAsia="zh-CN"/>
        </w:rPr>
        <w:t>1、提案会办单位需将会办意见送主办单位，由主办单位连同《提案答复件》、《征询意见表》一并抄送州政协；（涉及目标考核）</w:t>
      </w:r>
    </w:p>
    <w:p>
      <w:pPr>
        <w:spacing w:line="560" w:lineRule="exact"/>
        <w:ind w:firstLine="1280" w:firstLineChars="400"/>
        <w:rPr>
          <w:rStyle w:val="10"/>
          <w:rFonts w:hint="default" w:ascii="仿宋" w:hAnsi="仿宋" w:eastAsia="仿宋" w:cs="仿宋"/>
          <w:kern w:val="0"/>
          <w:sz w:val="32"/>
          <w:szCs w:val="32"/>
          <w:lang w:val="en-US" w:eastAsia="zh-CN"/>
        </w:rPr>
      </w:pPr>
      <w:r>
        <w:rPr>
          <w:rStyle w:val="10"/>
          <w:rFonts w:hint="eastAsia" w:ascii="仿宋" w:hAnsi="仿宋" w:eastAsia="仿宋" w:cs="仿宋"/>
          <w:kern w:val="0"/>
          <w:sz w:val="32"/>
          <w:szCs w:val="32"/>
          <w:lang w:val="en-US" w:eastAsia="zh-CN"/>
        </w:rPr>
        <w:t>2、州政协联系方式：州政协办402室、传真8428882，协同账号：州政协办公室收发员（备注：XXX号提案答复件）。</w:t>
      </w:r>
    </w:p>
    <w:sectPr>
      <w:headerReference r:id="rId3" w:type="default"/>
      <w:footerReference r:id="rId4" w:type="default"/>
      <w:pgSz w:w="11906" w:h="16838"/>
      <w:pgMar w:top="2098" w:right="1474" w:bottom="1985"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00007A87" w:usb1="80000000" w:usb2="00000008" w:usb3="00000000" w:csb0="400001FF" w:csb1="FFFF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auto"/>
    <w:pitch w:val="default"/>
    <w:sig w:usb0="00000001" w:usb1="080E0000" w:usb2="00000000" w:usb3="00000000" w:csb0="00040000" w:csb1="00000000"/>
  </w:font>
  <w:font w:name="仿宋">
    <w:altName w:val="宋体"/>
    <w:panose1 w:val="02010609060101010101"/>
    <w:charset w:val="86"/>
    <w:family w:val="auto"/>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198941"/>
      <w:docPartObj>
        <w:docPartGallery w:val="autotext"/>
      </w:docPartObj>
    </w:sdtPr>
    <w:sdtContent>
      <w:p>
        <w:pPr>
          <w:pStyle w:val="3"/>
          <w:jc w:val="center"/>
        </w:pPr>
        <w:r>
          <w:fldChar w:fldCharType="begin"/>
        </w:r>
        <w:r>
          <w:instrText xml:space="preserve"> PAGE   \* MERGEFORMAT </w:instrText>
        </w:r>
        <w:r>
          <w:fldChar w:fldCharType="separate"/>
        </w:r>
        <w:r>
          <w:rPr>
            <w:lang w:val="zh-CN"/>
          </w:rPr>
          <w:t>4</w:t>
        </w:r>
        <w:r>
          <w:rPr>
            <w:lang w:val="zh-CN"/>
          </w:rPr>
          <w:fldChar w:fldCharType="end"/>
        </w:r>
      </w:p>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rPr>
        <w:rStyle w:val="1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noPunctuationKerning w:val="1"/>
  <w:characterSpacingControl w:val="doNotCompress"/>
  <w:compat>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6911"/>
    <w:rsid w:val="00062089"/>
    <w:rsid w:val="002F6404"/>
    <w:rsid w:val="00372D70"/>
    <w:rsid w:val="004D0222"/>
    <w:rsid w:val="004E6BC5"/>
    <w:rsid w:val="00507FB8"/>
    <w:rsid w:val="00551F39"/>
    <w:rsid w:val="00554776"/>
    <w:rsid w:val="00654375"/>
    <w:rsid w:val="007055DB"/>
    <w:rsid w:val="007D1DFD"/>
    <w:rsid w:val="00840276"/>
    <w:rsid w:val="008A6967"/>
    <w:rsid w:val="008E32D7"/>
    <w:rsid w:val="008E5289"/>
    <w:rsid w:val="00A351EC"/>
    <w:rsid w:val="00A75BD7"/>
    <w:rsid w:val="00A94399"/>
    <w:rsid w:val="00A97C93"/>
    <w:rsid w:val="00C76ECC"/>
    <w:rsid w:val="00D123BF"/>
    <w:rsid w:val="00DD129A"/>
    <w:rsid w:val="00EA1493"/>
    <w:rsid w:val="00FB6911"/>
    <w:rsid w:val="00FF3F01"/>
    <w:rsid w:val="06503351"/>
    <w:rsid w:val="07D26AFC"/>
    <w:rsid w:val="085639B7"/>
    <w:rsid w:val="0CFE2127"/>
    <w:rsid w:val="0F174A4D"/>
    <w:rsid w:val="10B40BCC"/>
    <w:rsid w:val="10F40BE4"/>
    <w:rsid w:val="118823F2"/>
    <w:rsid w:val="18CB6DD9"/>
    <w:rsid w:val="18EC1E64"/>
    <w:rsid w:val="192C37CA"/>
    <w:rsid w:val="1A917DD9"/>
    <w:rsid w:val="1BAB45FA"/>
    <w:rsid w:val="20790890"/>
    <w:rsid w:val="21EA0B57"/>
    <w:rsid w:val="255649A8"/>
    <w:rsid w:val="29EB237C"/>
    <w:rsid w:val="2FD84B80"/>
    <w:rsid w:val="30B878C9"/>
    <w:rsid w:val="33552650"/>
    <w:rsid w:val="377737A4"/>
    <w:rsid w:val="37A11702"/>
    <w:rsid w:val="38D60616"/>
    <w:rsid w:val="38E6072A"/>
    <w:rsid w:val="3A7B4D73"/>
    <w:rsid w:val="3F1A5C90"/>
    <w:rsid w:val="42DC373C"/>
    <w:rsid w:val="42F10C9F"/>
    <w:rsid w:val="43953D03"/>
    <w:rsid w:val="44EB4449"/>
    <w:rsid w:val="470F7444"/>
    <w:rsid w:val="4A196944"/>
    <w:rsid w:val="4F6B5D70"/>
    <w:rsid w:val="507F065A"/>
    <w:rsid w:val="51B406C1"/>
    <w:rsid w:val="52263247"/>
    <w:rsid w:val="5236789E"/>
    <w:rsid w:val="559F1A55"/>
    <w:rsid w:val="58167D2D"/>
    <w:rsid w:val="5902530C"/>
    <w:rsid w:val="5A7C34BF"/>
    <w:rsid w:val="5AA17385"/>
    <w:rsid w:val="5B7C24C8"/>
    <w:rsid w:val="5C342431"/>
    <w:rsid w:val="5FDA608F"/>
    <w:rsid w:val="617E5CD0"/>
    <w:rsid w:val="61895CCF"/>
    <w:rsid w:val="61C325AD"/>
    <w:rsid w:val="62384D4B"/>
    <w:rsid w:val="64010D57"/>
    <w:rsid w:val="66F35DD9"/>
    <w:rsid w:val="6854075C"/>
    <w:rsid w:val="69A37ABB"/>
    <w:rsid w:val="6A9524E1"/>
    <w:rsid w:val="73746A5F"/>
    <w:rsid w:val="7B782FC4"/>
    <w:rsid w:val="7C1F064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textAlignment w:val="baseline"/>
    </w:pPr>
    <w:rPr>
      <w:rFonts w:ascii="Times New Roman" w:hAnsi="Times New Roman" w:eastAsia="宋体"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style>
  <w:style w:type="paragraph" w:styleId="3">
    <w:name w:val="footer"/>
    <w:basedOn w:val="1"/>
    <w:link w:val="20"/>
    <w:qFormat/>
    <w:uiPriority w:val="99"/>
    <w:pPr>
      <w:snapToGrid w:val="0"/>
      <w:jc w:val="left"/>
    </w:pPr>
    <w:rPr>
      <w:sz w:val="18"/>
      <w:szCs w:val="18"/>
    </w:rPr>
  </w:style>
  <w:style w:type="paragraph" w:styleId="4">
    <w:name w:val="header"/>
    <w:basedOn w:val="1"/>
    <w:qFormat/>
    <w:uiPriority w:val="0"/>
    <w:pPr>
      <w:pBdr>
        <w:bottom w:val="single" w:color="000000" w:sz="6" w:space="0"/>
      </w:pBdr>
      <w:snapToGrid w:val="0"/>
      <w:jc w:val="center"/>
    </w:pPr>
    <w:rPr>
      <w:sz w:val="18"/>
      <w:szCs w:val="18"/>
    </w:rPr>
  </w:style>
  <w:style w:type="paragraph" w:styleId="5">
    <w:name w:val="Normal (Web)"/>
    <w:basedOn w:val="1"/>
    <w:qFormat/>
    <w:uiPriority w:val="0"/>
    <w:pPr>
      <w:spacing w:beforeAutospacing="1" w:afterAutospacing="1"/>
      <w:jc w:val="left"/>
    </w:pPr>
    <w:rPr>
      <w:kern w:val="0"/>
      <w:sz w:val="24"/>
    </w:rPr>
  </w:style>
  <w:style w:type="character" w:styleId="8">
    <w:name w:val="Strong"/>
    <w:qFormat/>
    <w:uiPriority w:val="0"/>
    <w:rPr>
      <w:rFonts w:cs="Times New Roman"/>
      <w:b/>
      <w:bCs/>
    </w:rPr>
  </w:style>
  <w:style w:type="character" w:styleId="9">
    <w:name w:val="Hyperlink"/>
    <w:basedOn w:val="10"/>
    <w:semiHidden/>
    <w:qFormat/>
    <w:uiPriority w:val="0"/>
    <w:rPr>
      <w:color w:val="0000FF"/>
      <w:u w:val="single"/>
    </w:rPr>
  </w:style>
  <w:style w:type="character" w:customStyle="1" w:styleId="10">
    <w:name w:val="NormalCharacter"/>
    <w:semiHidden/>
    <w:qFormat/>
    <w:uiPriority w:val="0"/>
  </w:style>
  <w:style w:type="paragraph" w:customStyle="1" w:styleId="11">
    <w:name w:val="Heading1"/>
    <w:basedOn w:val="1"/>
    <w:link w:val="17"/>
    <w:qFormat/>
    <w:uiPriority w:val="0"/>
    <w:pPr>
      <w:spacing w:before="100" w:beforeAutospacing="1" w:after="100" w:afterAutospacing="1"/>
      <w:jc w:val="left"/>
    </w:pPr>
    <w:rPr>
      <w:rFonts w:ascii="宋体" w:hAnsi="宋体" w:cs="宋体"/>
      <w:b/>
      <w:bCs/>
      <w:kern w:val="36"/>
      <w:sz w:val="48"/>
      <w:szCs w:val="48"/>
    </w:rPr>
  </w:style>
  <w:style w:type="table" w:customStyle="1" w:styleId="12">
    <w:name w:val="TableNormal"/>
    <w:semiHidden/>
    <w:qFormat/>
    <w:uiPriority w:val="0"/>
    <w:tblPr>
      <w:tblCellMar>
        <w:top w:w="0" w:type="dxa"/>
        <w:left w:w="0" w:type="dxa"/>
        <w:bottom w:w="0" w:type="dxa"/>
        <w:right w:w="0" w:type="dxa"/>
      </w:tblCellMar>
    </w:tblPr>
  </w:style>
  <w:style w:type="paragraph" w:customStyle="1" w:styleId="13">
    <w:name w:val="Acetate"/>
    <w:basedOn w:val="1"/>
    <w:qFormat/>
    <w:uiPriority w:val="0"/>
    <w:rPr>
      <w:sz w:val="18"/>
      <w:szCs w:val="18"/>
    </w:rPr>
  </w:style>
  <w:style w:type="paragraph" w:customStyle="1" w:styleId="14">
    <w:name w:val="UserStyle_0"/>
    <w:basedOn w:val="1"/>
    <w:qFormat/>
    <w:uiPriority w:val="0"/>
    <w:pPr>
      <w:spacing w:before="100" w:beforeAutospacing="1" w:after="100" w:afterAutospacing="1"/>
      <w:jc w:val="left"/>
    </w:pPr>
    <w:rPr>
      <w:rFonts w:ascii="黑体" w:hAnsi="宋体" w:eastAsia="黑体" w:cs="宋体"/>
      <w:b/>
      <w:bCs/>
      <w:kern w:val="0"/>
      <w:sz w:val="36"/>
      <w:szCs w:val="36"/>
    </w:rPr>
  </w:style>
  <w:style w:type="paragraph" w:customStyle="1" w:styleId="15">
    <w:name w:val="UserStyle_1"/>
    <w:basedOn w:val="1"/>
    <w:qFormat/>
    <w:uiPriority w:val="0"/>
    <w:pPr>
      <w:spacing w:before="100" w:beforeAutospacing="1" w:after="100" w:afterAutospacing="1"/>
      <w:jc w:val="left"/>
    </w:pPr>
    <w:rPr>
      <w:rFonts w:ascii="黑体" w:hAnsi="宋体" w:eastAsia="黑体" w:cs="宋体"/>
      <w:b/>
      <w:bCs/>
      <w:kern w:val="0"/>
      <w:sz w:val="54"/>
      <w:szCs w:val="54"/>
    </w:rPr>
  </w:style>
  <w:style w:type="paragraph" w:customStyle="1" w:styleId="16">
    <w:name w:val="UserStyle_2"/>
    <w:basedOn w:val="1"/>
    <w:qFormat/>
    <w:uiPriority w:val="0"/>
    <w:pPr>
      <w:spacing w:before="100" w:beforeAutospacing="1" w:after="100" w:afterAutospacing="1"/>
      <w:jc w:val="left"/>
    </w:pPr>
    <w:rPr>
      <w:rFonts w:ascii="宋体" w:hAnsi="宋体"/>
      <w:kern w:val="0"/>
      <w:sz w:val="24"/>
    </w:rPr>
  </w:style>
  <w:style w:type="character" w:customStyle="1" w:styleId="17">
    <w:name w:val="UserStyle_3"/>
    <w:basedOn w:val="10"/>
    <w:link w:val="11"/>
    <w:qFormat/>
    <w:uiPriority w:val="0"/>
    <w:rPr>
      <w:rFonts w:ascii="宋体" w:hAnsi="宋体" w:cs="宋体"/>
      <w:b/>
      <w:bCs/>
      <w:kern w:val="36"/>
      <w:sz w:val="48"/>
      <w:szCs w:val="48"/>
    </w:rPr>
  </w:style>
  <w:style w:type="character" w:customStyle="1" w:styleId="18">
    <w:name w:val="UserStyle_4"/>
    <w:basedOn w:val="10"/>
    <w:qFormat/>
    <w:uiPriority w:val="0"/>
  </w:style>
  <w:style w:type="paragraph" w:customStyle="1" w:styleId="19">
    <w:name w:val="HtmlNormal"/>
    <w:basedOn w:val="1"/>
    <w:semiHidden/>
    <w:qFormat/>
    <w:uiPriority w:val="0"/>
    <w:pPr>
      <w:spacing w:before="100" w:beforeAutospacing="1" w:after="100" w:afterAutospacing="1"/>
      <w:jc w:val="left"/>
    </w:pPr>
    <w:rPr>
      <w:rFonts w:ascii="宋体" w:hAnsi="宋体"/>
      <w:kern w:val="0"/>
      <w:sz w:val="24"/>
    </w:rPr>
  </w:style>
  <w:style w:type="character" w:customStyle="1" w:styleId="20">
    <w:name w:val="页脚 Char"/>
    <w:basedOn w:val="7"/>
    <w:link w:val="3"/>
    <w:qFormat/>
    <w:uiPriority w:val="99"/>
    <w:rPr>
      <w:rFonts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Micorosoft</Company>
  <Pages>4</Pages>
  <Words>307</Words>
  <Characters>1751</Characters>
  <Lines>14</Lines>
  <Paragraphs>4</Paragraphs>
  <TotalTime>0</TotalTime>
  <ScaleCrop>false</ScaleCrop>
  <LinksUpToDate>false</LinksUpToDate>
  <CharactersWithSpaces>2054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2021-01-13T04:51:00Z</dcterms:created>
  <dc:creator>Administrator</dc:creator>
  <cp:lastModifiedBy>丘丘</cp:lastModifiedBy>
  <cp:lastPrinted>2022-01-05T03:08:00Z</cp:lastPrinted>
  <dcterms:modified xsi:type="dcterms:W3CDTF">2022-01-06T07:22:14Z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0BEFFA9D6DA34548976C4312CA596319</vt:lpwstr>
  </property>
</Properties>
</file>