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0" w:beforeAutospacing="0" w:after="0" w:afterAutospacing="0" w:line="600" w:lineRule="exact"/>
        <w:jc w:val="center"/>
        <w:rPr>
          <w:rStyle w:val="10"/>
          <w:rFonts w:ascii="黑体" w:eastAsia="黑体"/>
          <w:sz w:val="44"/>
          <w:szCs w:val="44"/>
        </w:rPr>
      </w:pPr>
      <w:r>
        <w:rPr>
          <w:rStyle w:val="8"/>
          <w:rFonts w:ascii="黑体" w:eastAsia="黑体" w:cs="宋体"/>
          <w:sz w:val="44"/>
          <w:szCs w:val="44"/>
        </w:rPr>
        <w:t>中国人民政治协商会议</w:t>
      </w:r>
    </w:p>
    <w:p>
      <w:pPr>
        <w:pStyle w:val="14"/>
        <w:spacing w:before="0" w:beforeAutospacing="0" w:after="0" w:afterAutospacing="0" w:line="600" w:lineRule="exact"/>
        <w:jc w:val="center"/>
        <w:rPr>
          <w:rStyle w:val="10"/>
          <w:sz w:val="44"/>
          <w:szCs w:val="44"/>
        </w:rPr>
      </w:pPr>
      <w:r>
        <w:rPr>
          <w:rStyle w:val="10"/>
          <w:sz w:val="44"/>
          <w:szCs w:val="44"/>
        </w:rPr>
        <w:t>黔东南苗族侗族自治州委员会</w:t>
      </w:r>
    </w:p>
    <w:p>
      <w:pPr>
        <w:pStyle w:val="14"/>
        <w:spacing w:before="0" w:beforeAutospacing="0" w:after="0" w:afterAutospacing="0" w:line="600" w:lineRule="exact"/>
        <w:jc w:val="center"/>
        <w:rPr>
          <w:rStyle w:val="10"/>
          <w:sz w:val="44"/>
          <w:szCs w:val="44"/>
        </w:rPr>
      </w:pPr>
      <w:r>
        <w:rPr>
          <w:rStyle w:val="10"/>
          <w:sz w:val="44"/>
          <w:szCs w:val="44"/>
        </w:rPr>
        <w:t>提案</w:t>
      </w:r>
    </w:p>
    <w:p>
      <w:pPr>
        <w:spacing w:line="320" w:lineRule="exact"/>
        <w:jc w:val="center"/>
        <w:textAlignment w:val="top"/>
        <w:rPr>
          <w:rStyle w:val="10"/>
          <w:rFonts w:ascii="宋体" w:hAnsi="宋体"/>
          <w:kern w:val="0"/>
          <w:sz w:val="24"/>
        </w:rPr>
      </w:pPr>
    </w:p>
    <w:p>
      <w:pPr>
        <w:spacing w:line="320" w:lineRule="exact"/>
        <w:jc w:val="center"/>
        <w:textAlignment w:val="top"/>
        <w:rPr>
          <w:rStyle w:val="10"/>
          <w:rFonts w:ascii="宋体" w:hAnsi="宋体"/>
          <w:kern w:val="0"/>
          <w:sz w:val="24"/>
        </w:rPr>
      </w:pPr>
    </w:p>
    <w:p>
      <w:pPr>
        <w:spacing w:line="760" w:lineRule="exact"/>
        <w:textAlignment w:val="top"/>
        <w:rPr>
          <w:rStyle w:val="10"/>
          <w:rFonts w:ascii="宋体" w:hAnsi="宋体"/>
          <w:kern w:val="0"/>
          <w:sz w:val="24"/>
        </w:rPr>
      </w:pPr>
      <w:r>
        <w:rPr>
          <w:rStyle w:val="10"/>
          <w:rFonts w:ascii="宋体" w:hAnsi="宋体"/>
          <w:kern w:val="0"/>
          <w:sz w:val="24"/>
        </w:rPr>
        <w:pict>
          <v:rect id="_x0000_s1028" o:spid="_x0000_s1028"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path/>
            <v:fill on="t" focussize="0,0"/>
            <v:stroke on="f"/>
            <v:imagedata o:title=""/>
            <o:lock v:ext="edit"/>
            <v:textbox>
              <w:txbxContent>
                <w:p/>
              </w:txbxContent>
            </v:textbox>
            <w10:wrap type="none"/>
            <w10:anchorlock/>
          </v:rect>
        </w:pict>
      </w:r>
    </w:p>
    <w:p>
      <w:pPr>
        <w:spacing w:line="320" w:lineRule="exact"/>
        <w:rPr>
          <w:rStyle w:val="10"/>
          <w:rFonts w:ascii="宋体" w:hAnsi="宋体"/>
          <w:kern w:val="0"/>
          <w:sz w:val="24"/>
        </w:rPr>
      </w:pPr>
      <w:r>
        <w:rPr>
          <w:rStyle w:val="10"/>
          <w:rFonts w:ascii="宋体" w:hAnsi="宋体"/>
          <w:kern w:val="0"/>
          <w:sz w:val="24"/>
        </w:rPr>
        <w:t>第十</w:t>
      </w:r>
      <w:r>
        <w:rPr>
          <w:rStyle w:val="10"/>
          <w:rFonts w:hint="eastAsia" w:ascii="宋体" w:hAnsi="宋体"/>
          <w:kern w:val="0"/>
          <w:sz w:val="24"/>
        </w:rPr>
        <w:t>三</w:t>
      </w:r>
      <w:r>
        <w:rPr>
          <w:rStyle w:val="10"/>
          <w:rFonts w:ascii="宋体" w:hAnsi="宋体"/>
          <w:kern w:val="0"/>
          <w:sz w:val="24"/>
        </w:rPr>
        <w:t>届第</w:t>
      </w:r>
      <w:r>
        <w:rPr>
          <w:rStyle w:val="10"/>
          <w:rFonts w:hint="eastAsia" w:ascii="宋体" w:hAnsi="宋体"/>
          <w:kern w:val="0"/>
          <w:sz w:val="24"/>
        </w:rPr>
        <w:t>一</w:t>
      </w:r>
      <w:r>
        <w:rPr>
          <w:rStyle w:val="10"/>
          <w:rFonts w:ascii="宋体" w:hAnsi="宋体"/>
          <w:kern w:val="0"/>
          <w:sz w:val="24"/>
        </w:rPr>
        <w:t>次会议　       　第</w:t>
      </w:r>
      <w:r>
        <w:rPr>
          <w:rStyle w:val="10"/>
          <w:rFonts w:hint="eastAsia" w:ascii="宋体" w:hAnsi="宋体"/>
          <w:kern w:val="0"/>
          <w:sz w:val="24"/>
        </w:rPr>
        <w:t>070</w:t>
      </w:r>
      <w:r>
        <w:rPr>
          <w:rStyle w:val="10"/>
          <w:rFonts w:ascii="宋体" w:hAnsi="宋体"/>
          <w:kern w:val="0"/>
          <w:sz w:val="24"/>
        </w:rPr>
        <w:t xml:space="preserve">号　    </w:t>
      </w:r>
      <w:r>
        <w:rPr>
          <w:rStyle w:val="10"/>
          <w:rFonts w:hint="eastAsia" w:ascii="宋体" w:hAnsi="宋体"/>
          <w:kern w:val="0"/>
          <w:sz w:val="24"/>
        </w:rPr>
        <w:t xml:space="preserve"> 类别：社会建设类     </w:t>
      </w:r>
    </w:p>
    <w:p>
      <w:pPr>
        <w:spacing w:line="320" w:lineRule="exact"/>
        <w:jc w:val="left"/>
        <w:rPr>
          <w:rStyle w:val="10"/>
          <w:rFonts w:ascii="宋体" w:hAnsi="宋体"/>
          <w:kern w:val="0"/>
          <w:sz w:val="24"/>
        </w:rPr>
      </w:pPr>
      <w:r>
        <w:rPr>
          <w:rStyle w:val="10"/>
          <w:rFonts w:ascii="宋体" w:hAnsi="宋体"/>
          <w:kern w:val="0"/>
          <w:sz w:val="24"/>
        </w:rPr>
        <w:pict>
          <v:rect id="_x0000_s1027" o:spid="_x0000_s1027"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path/>
            <v:fill on="t" focussize="0,0"/>
            <v:stroke on="f"/>
            <v:imagedata o:title=""/>
            <o:lock v:ext="edit"/>
            <v:textbox>
              <w:txbxContent>
                <w:p/>
              </w:txbxContent>
            </v:textbox>
            <w10:wrap type="none"/>
            <w10:anchorlock/>
          </v:rect>
        </w:pict>
      </w:r>
    </w:p>
    <w:tbl>
      <w:tblPr>
        <w:tblStyle w:val="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案</w:t>
            </w:r>
            <w:r>
              <w:rPr>
                <w:rStyle w:val="10"/>
                <w:rFonts w:ascii="宋体" w:hAnsi="宋体" w:eastAsia="黑体" w:cs="宋体"/>
                <w:b/>
                <w:bCs/>
                <w:kern w:val="0"/>
                <w:sz w:val="24"/>
              </w:rPr>
              <w:t>  </w:t>
            </w:r>
            <w:r>
              <w:rPr>
                <w:rStyle w:val="10"/>
                <w:rFonts w:ascii="黑体" w:hAnsi="宋体" w:eastAsia="黑体" w:cs="宋体"/>
                <w:b/>
                <w:bCs/>
                <w:kern w:val="0"/>
                <w:sz w:val="24"/>
              </w:rPr>
              <w:t>由</w:t>
            </w:r>
            <w:r>
              <w:rPr>
                <w:rStyle w:val="10"/>
                <w:rFonts w:ascii="宋体" w:hAnsi="宋体" w:cs="宋体"/>
                <w:b/>
                <w:bCs/>
                <w:kern w:val="0"/>
                <w:sz w:val="24"/>
              </w:rPr>
              <w:t>：</w:t>
            </w:r>
          </w:p>
        </w:tc>
        <w:tc>
          <w:tcPr>
            <w:tcW w:w="6797" w:type="dxa"/>
            <w:gridSpan w:val="3"/>
            <w:vAlign w:val="center"/>
          </w:tcPr>
          <w:p>
            <w:pPr>
              <w:jc w:val="left"/>
              <w:rPr>
                <w:rStyle w:val="10"/>
                <w:rFonts w:ascii="宋体" w:hAnsi="宋体" w:cs="宋体"/>
                <w:b/>
                <w:bCs/>
                <w:kern w:val="0"/>
                <w:sz w:val="24"/>
              </w:rPr>
            </w:pPr>
            <w:r>
              <w:rPr>
                <w:rStyle w:val="10"/>
                <w:rFonts w:hint="eastAsia" w:ascii="宋体" w:hAnsi="宋体" w:cs="宋体" w:eastAsiaTheme="minorEastAsia"/>
                <w:b/>
                <w:bCs/>
                <w:kern w:val="0"/>
                <w:sz w:val="24"/>
              </w:rPr>
              <w:t>关于加快推进全州紧密型县域医共体建设的建议</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审查意见</w:t>
            </w:r>
            <w:r>
              <w:rPr>
                <w:rStyle w:val="10"/>
                <w:rFonts w:ascii="宋体" w:hAnsi="宋体" w:cs="宋体"/>
                <w:b/>
                <w:bCs/>
                <w:kern w:val="0"/>
                <w:sz w:val="24"/>
              </w:rPr>
              <w:t>：</w:t>
            </w:r>
          </w:p>
        </w:tc>
        <w:tc>
          <w:tcPr>
            <w:tcW w:w="6797" w:type="dxa"/>
            <w:gridSpan w:val="3"/>
            <w:vAlign w:val="center"/>
          </w:tcPr>
          <w:p>
            <w:pPr>
              <w:jc w:val="left"/>
              <w:rPr>
                <w:rStyle w:val="10"/>
                <w:rFonts w:hint="default" w:ascii="宋体" w:hAnsi="宋体" w:eastAsia="宋体"/>
                <w:kern w:val="0"/>
                <w:sz w:val="24"/>
                <w:lang w:val="en-US" w:eastAsia="zh-CN"/>
              </w:rPr>
            </w:pPr>
            <w:r>
              <w:rPr>
                <w:rStyle w:val="10"/>
                <w:rFonts w:hint="eastAsia" w:ascii="宋体" w:hAnsi="宋体"/>
                <w:kern w:val="0"/>
                <w:sz w:val="24"/>
              </w:rPr>
              <w:t>主办：州卫健局    会办：州人社局、州委编办、州医保局</w:t>
            </w:r>
            <w:r>
              <w:rPr>
                <w:rStyle w:val="10"/>
                <w:rFonts w:hint="eastAsia" w:ascii="宋体" w:hAnsi="宋体"/>
                <w:kern w:val="0"/>
                <w:sz w:val="24"/>
                <w:lang w:eastAsia="zh-CN"/>
              </w:rPr>
              <w:t>、</w:t>
            </w:r>
            <w:r>
              <w:rPr>
                <w:rStyle w:val="10"/>
                <w:rFonts w:hint="eastAsia" w:ascii="宋体" w:hAnsi="宋体"/>
                <w:kern w:val="0"/>
                <w:sz w:val="24"/>
                <w:lang w:val="en-US" w:eastAsia="zh-CN"/>
              </w:rPr>
              <w:t>州发改委、州财政局</w:t>
            </w:r>
            <w:bookmarkStart w:id="0" w:name="_GoBack"/>
            <w:bookmarkEnd w:id="0"/>
          </w:p>
        </w:tc>
      </w:tr>
      <w:tr>
        <w:tblPrEx>
          <w:tblCellMar>
            <w:top w:w="0" w:type="dxa"/>
            <w:left w:w="15" w:type="dxa"/>
            <w:bottom w:w="0" w:type="dxa"/>
            <w:right w:w="15" w:type="dxa"/>
          </w:tblCellMar>
        </w:tblPrEx>
        <w:tc>
          <w:tcPr>
            <w:tcW w:w="1753" w:type="dxa"/>
            <w:vAlign w:val="center"/>
          </w:tcPr>
          <w:p>
            <w:pPr>
              <w:jc w:val="left"/>
              <w:rPr>
                <w:rStyle w:val="10"/>
                <w:rFonts w:ascii="黑体" w:hAnsi="宋体" w:eastAsia="黑体"/>
                <w:kern w:val="0"/>
                <w:sz w:val="24"/>
              </w:rPr>
            </w:pPr>
            <w:r>
              <w:rPr>
                <w:rStyle w:val="10"/>
                <w:rFonts w:ascii="黑体" w:hAnsi="宋体" w:eastAsia="黑体" w:cs="宋体"/>
                <w:b/>
                <w:bCs/>
                <w:kern w:val="0"/>
                <w:sz w:val="24"/>
              </w:rPr>
              <w:t>提</w:t>
            </w:r>
            <w:r>
              <w:rPr>
                <w:rStyle w:val="10"/>
                <w:rFonts w:ascii="宋体" w:hAnsi="宋体" w:eastAsia="黑体" w:cs="宋体"/>
                <w:b/>
                <w:bCs/>
                <w:kern w:val="0"/>
                <w:sz w:val="24"/>
              </w:rPr>
              <w:t> </w:t>
            </w:r>
            <w:r>
              <w:rPr>
                <w:rStyle w:val="10"/>
                <w:rFonts w:ascii="黑体" w:hAnsi="宋体" w:eastAsia="黑体" w:cs="宋体"/>
                <w:b/>
                <w:bCs/>
                <w:kern w:val="0"/>
                <w:sz w:val="24"/>
              </w:rPr>
              <w:t>案人</w:t>
            </w:r>
            <w:r>
              <w:rPr>
                <w:rStyle w:val="10"/>
                <w:rFonts w:ascii="宋体" w:hAnsi="宋体" w:eastAsia="黑体" w:cs="宋体"/>
                <w:b/>
                <w:bCs/>
                <w:kern w:val="0"/>
                <w:sz w:val="24"/>
              </w:rPr>
              <w:t>：</w:t>
            </w:r>
          </w:p>
        </w:tc>
        <w:tc>
          <w:tcPr>
            <w:tcW w:w="3872" w:type="dxa"/>
            <w:vAlign w:val="center"/>
          </w:tcPr>
          <w:p>
            <w:pPr>
              <w:jc w:val="left"/>
              <w:rPr>
                <w:rStyle w:val="10"/>
                <w:rFonts w:ascii="宋体" w:hAnsi="宋体"/>
                <w:kern w:val="0"/>
                <w:sz w:val="24"/>
              </w:rPr>
            </w:pPr>
            <w:r>
              <w:rPr>
                <w:rStyle w:val="10"/>
                <w:rFonts w:ascii="宋体" w:hAnsi="宋体" w:cs="宋体"/>
                <w:b/>
                <w:bCs/>
                <w:kern w:val="0"/>
                <w:sz w:val="24"/>
              </w:rPr>
              <w:t>通讯地址</w:t>
            </w:r>
          </w:p>
        </w:tc>
        <w:tc>
          <w:tcPr>
            <w:tcW w:w="1440" w:type="dxa"/>
            <w:vAlign w:val="center"/>
          </w:tcPr>
          <w:p>
            <w:pPr>
              <w:jc w:val="left"/>
              <w:rPr>
                <w:rStyle w:val="10"/>
                <w:rFonts w:ascii="宋体" w:hAnsi="宋体"/>
                <w:kern w:val="0"/>
                <w:sz w:val="24"/>
              </w:rPr>
            </w:pPr>
            <w:r>
              <w:rPr>
                <w:rStyle w:val="10"/>
                <w:rFonts w:ascii="宋体" w:hAnsi="宋体" w:cs="宋体"/>
                <w:b/>
                <w:bCs/>
                <w:kern w:val="0"/>
                <w:sz w:val="24"/>
              </w:rPr>
              <w:t>邮政编码</w:t>
            </w:r>
          </w:p>
        </w:tc>
        <w:tc>
          <w:tcPr>
            <w:tcW w:w="1485" w:type="dxa"/>
            <w:vAlign w:val="center"/>
          </w:tcPr>
          <w:p>
            <w:pPr>
              <w:jc w:val="left"/>
              <w:rPr>
                <w:rStyle w:val="10"/>
                <w:rFonts w:ascii="宋体" w:hAnsi="宋体"/>
                <w:kern w:val="0"/>
                <w:sz w:val="24"/>
              </w:rPr>
            </w:pPr>
            <w:r>
              <w:rPr>
                <w:rStyle w:val="10"/>
                <w:rFonts w:ascii="宋体" w:hAnsi="宋体" w:cs="宋体"/>
                <w:b/>
                <w:bCs/>
                <w:kern w:val="0"/>
                <w:sz w:val="24"/>
              </w:rPr>
              <w:t>联系电话</w:t>
            </w:r>
          </w:p>
        </w:tc>
      </w:tr>
      <w:tr>
        <w:tc>
          <w:tcPr>
            <w:tcW w:w="1753" w:type="dxa"/>
            <w:vAlign w:val="center"/>
          </w:tcPr>
          <w:p>
            <w:pPr>
              <w:jc w:val="left"/>
              <w:rPr>
                <w:rStyle w:val="10"/>
                <w:rFonts w:ascii="宋体" w:hAnsi="宋体"/>
                <w:kern w:val="0"/>
                <w:sz w:val="24"/>
              </w:rPr>
            </w:pPr>
            <w:r>
              <w:rPr>
                <w:rStyle w:val="10"/>
                <w:rFonts w:hint="eastAsia" w:ascii="宋体" w:hAnsi="宋体"/>
                <w:kern w:val="0"/>
                <w:sz w:val="24"/>
              </w:rPr>
              <w:t>杨欣兰</w:t>
            </w:r>
          </w:p>
        </w:tc>
        <w:tc>
          <w:tcPr>
            <w:tcW w:w="3872" w:type="dxa"/>
            <w:vAlign w:val="center"/>
          </w:tcPr>
          <w:p>
            <w:pPr>
              <w:jc w:val="left"/>
              <w:rPr>
                <w:rStyle w:val="10"/>
                <w:rFonts w:ascii="宋体" w:hAnsi="宋体"/>
                <w:kern w:val="0"/>
                <w:sz w:val="24"/>
              </w:rPr>
            </w:pPr>
            <w:r>
              <w:rPr>
                <w:rStyle w:val="10"/>
                <w:rFonts w:hint="eastAsia" w:ascii="宋体" w:hAnsi="宋体"/>
                <w:kern w:val="0"/>
                <w:sz w:val="24"/>
              </w:rPr>
              <w:t>黄平县卫生健康局</w:t>
            </w:r>
          </w:p>
        </w:tc>
        <w:tc>
          <w:tcPr>
            <w:tcW w:w="1440" w:type="dxa"/>
            <w:vAlign w:val="center"/>
          </w:tcPr>
          <w:p>
            <w:pPr>
              <w:jc w:val="left"/>
              <w:rPr>
                <w:rStyle w:val="10"/>
                <w:rFonts w:ascii="宋体" w:hAnsi="宋体"/>
                <w:kern w:val="0"/>
                <w:sz w:val="24"/>
              </w:rPr>
            </w:pPr>
            <w:r>
              <w:rPr>
                <w:rStyle w:val="10"/>
                <w:rFonts w:hint="eastAsia" w:ascii="宋体" w:hAnsi="宋体"/>
                <w:kern w:val="0"/>
                <w:sz w:val="24"/>
              </w:rPr>
              <w:t>556000</w:t>
            </w:r>
          </w:p>
        </w:tc>
        <w:tc>
          <w:tcPr>
            <w:tcW w:w="1485" w:type="dxa"/>
            <w:vAlign w:val="center"/>
          </w:tcPr>
          <w:p>
            <w:pPr>
              <w:jc w:val="left"/>
              <w:rPr>
                <w:rStyle w:val="10"/>
                <w:rFonts w:ascii="宋体" w:hAnsi="宋体"/>
                <w:kern w:val="0"/>
                <w:sz w:val="24"/>
              </w:rPr>
            </w:pPr>
            <w:r>
              <w:rPr>
                <w:rStyle w:val="10"/>
                <w:rFonts w:hint="eastAsia" w:ascii="宋体" w:hAnsi="宋体"/>
                <w:kern w:val="0"/>
                <w:sz w:val="24"/>
              </w:rPr>
              <w:t>15870213733</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hint="eastAsia" w:ascii="黑体" w:hAnsi="宋体" w:eastAsia="黑体" w:cs="宋体"/>
                <w:b/>
                <w:bCs/>
                <w:kern w:val="0"/>
                <w:sz w:val="24"/>
                <w:szCs w:val="22"/>
              </w:rPr>
              <w:t>工作联系电话：</w:t>
            </w:r>
          </w:p>
        </w:tc>
        <w:tc>
          <w:tcPr>
            <w:tcW w:w="6797" w:type="dxa"/>
            <w:gridSpan w:val="3"/>
            <w:vAlign w:val="center"/>
          </w:tcPr>
          <w:p>
            <w:pPr>
              <w:jc w:val="left"/>
              <w:rPr>
                <w:rStyle w:val="10"/>
                <w:rFonts w:ascii="宋体" w:hAnsi="宋体"/>
                <w:kern w:val="0"/>
                <w:sz w:val="24"/>
              </w:rPr>
            </w:pPr>
            <w:r>
              <w:rPr>
                <w:rStyle w:val="10"/>
                <w:rFonts w:hint="eastAsia" w:ascii="宋体" w:hAnsi="宋体"/>
                <w:kern w:val="0"/>
                <w:sz w:val="24"/>
              </w:rPr>
              <w:t>州委办秘书五科：8270060；州政府办建议提案科：8260016；</w:t>
            </w:r>
          </w:p>
          <w:p>
            <w:pPr>
              <w:jc w:val="left"/>
              <w:rPr>
                <w:rStyle w:val="10"/>
                <w:rFonts w:ascii="宋体" w:hAnsi="宋体"/>
                <w:kern w:val="0"/>
                <w:sz w:val="24"/>
              </w:rPr>
            </w:pPr>
            <w:r>
              <w:rPr>
                <w:rStyle w:val="10"/>
                <w:rFonts w:hint="eastAsia" w:ascii="宋体" w:hAnsi="宋体"/>
                <w:kern w:val="0"/>
                <w:sz w:val="24"/>
              </w:rPr>
              <w:t>州政协提案委：8428866。</w:t>
            </w:r>
          </w:p>
        </w:tc>
      </w:tr>
    </w:tbl>
    <w:p>
      <w:pPr>
        <w:jc w:val="left"/>
        <w:rPr>
          <w:rStyle w:val="10"/>
          <w:rFonts w:ascii="宋体" w:hAnsi="宋体"/>
          <w:kern w:val="0"/>
          <w:sz w:val="24"/>
        </w:rPr>
      </w:pPr>
      <w:r>
        <w:rPr>
          <w:rStyle w:val="10"/>
          <w:rFonts w:ascii="宋体" w:hAnsi="宋体"/>
          <w:kern w:val="0"/>
          <w:sz w:val="24"/>
        </w:rPr>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path/>
            <v:fill on="t" focussize="0,0"/>
            <v:stroke on="f"/>
            <v:imagedata o:title=""/>
            <o:lock v:ext="edit"/>
            <v:textbox>
              <w:txbxContent>
                <w:p/>
              </w:txbxContent>
            </v:textbox>
            <w10:wrap type="none"/>
            <w10:anchorlock/>
          </v:rect>
        </w:pict>
      </w:r>
    </w:p>
    <w:p>
      <w:pPr>
        <w:spacing w:line="560" w:lineRule="exact"/>
        <w:rPr>
          <w:rStyle w:val="10"/>
          <w:rFonts w:ascii="仿宋_GB2312" w:hAnsi="宋体" w:eastAsia="仿宋_GB2312"/>
          <w:kern w:val="0"/>
          <w:sz w:val="32"/>
          <w:szCs w:val="32"/>
        </w:rPr>
      </w:pPr>
      <w:r>
        <w:rPr>
          <w:rStyle w:val="10"/>
          <w:rFonts w:hint="eastAsia" w:ascii="仿宋_GB2312" w:hAnsi="宋体" w:eastAsia="仿宋_GB2312"/>
          <w:kern w:val="0"/>
          <w:sz w:val="32"/>
          <w:szCs w:val="32"/>
        </w:rPr>
        <w:t>内容和办法：</w:t>
      </w:r>
    </w:p>
    <w:p>
      <w:pPr>
        <w:pStyle w:val="5"/>
        <w:spacing w:beforeAutospacing="0" w:afterAutospacing="0" w:line="400" w:lineRule="atLeast"/>
        <w:ind w:firstLine="640" w:firstLineChars="200"/>
        <w:rPr>
          <w:rFonts w:hint="eastAsia" w:ascii="黑体" w:hAnsi="黑体" w:eastAsia="黑体" w:cs="Times New Roman"/>
          <w:bCs/>
          <w:kern w:val="2"/>
          <w:sz w:val="32"/>
          <w:szCs w:val="32"/>
        </w:rPr>
      </w:pPr>
      <w:r>
        <w:rPr>
          <w:rFonts w:hint="eastAsia" w:ascii="黑体" w:hAnsi="黑体" w:eastAsia="黑体" w:cs="Times New Roman"/>
          <w:bCs/>
          <w:kern w:val="2"/>
          <w:sz w:val="32"/>
          <w:szCs w:val="32"/>
        </w:rPr>
        <w:t>一、案由分析</w:t>
      </w:r>
    </w:p>
    <w:p>
      <w:pPr>
        <w:pStyle w:val="5"/>
        <w:spacing w:beforeAutospacing="0" w:afterAutospacing="0" w:line="400" w:lineRule="atLeast"/>
        <w:ind w:firstLine="640" w:firstLineChars="200"/>
        <w:rPr>
          <w:rFonts w:hint="eastAsia" w:ascii="仿宋" w:hAnsi="仿宋" w:eastAsia="仿宋" w:cs="Times New Roman"/>
          <w:bCs/>
          <w:kern w:val="2"/>
          <w:sz w:val="32"/>
          <w:szCs w:val="32"/>
        </w:rPr>
      </w:pPr>
      <w:r>
        <w:rPr>
          <w:rFonts w:hint="eastAsia" w:ascii="仿宋" w:hAnsi="仿宋" w:eastAsia="仿宋" w:cs="Times New Roman"/>
          <w:bCs/>
          <w:kern w:val="2"/>
          <w:sz w:val="32"/>
          <w:szCs w:val="32"/>
        </w:rPr>
        <w:t>推进紧密型县域医共体建设，是全面深化新一轮基层医改的重大举措，是补齐基层医疗卫生短板、维护群众切身利益的民生工程，也是卫生健康高质量发展的重要内容。</w:t>
      </w:r>
      <w:r>
        <w:rPr>
          <w:rFonts w:ascii="仿宋" w:hAnsi="仿宋" w:eastAsia="仿宋" w:cs="Times New Roman"/>
          <w:bCs/>
          <w:kern w:val="2"/>
          <w:sz w:val="32"/>
          <w:szCs w:val="32"/>
        </w:rPr>
        <w:t>根据《国务院办公厅关于印发深化医药卫生体制改革2021年重点工作任务的通知》（国办发〔2021〕20号）</w:t>
      </w:r>
      <w:r>
        <w:rPr>
          <w:rFonts w:hint="eastAsia" w:ascii="仿宋" w:hAnsi="仿宋" w:eastAsia="仿宋" w:cs="Times New Roman"/>
          <w:bCs/>
          <w:kern w:val="2"/>
          <w:sz w:val="32"/>
          <w:szCs w:val="32"/>
        </w:rPr>
        <w:t>、</w:t>
      </w:r>
      <w:r>
        <w:rPr>
          <w:rFonts w:ascii="仿宋" w:hAnsi="仿宋" w:eastAsia="仿宋" w:cs="Times New Roman"/>
          <w:bCs/>
          <w:kern w:val="2"/>
          <w:sz w:val="32"/>
          <w:szCs w:val="32"/>
        </w:rPr>
        <w:t>《省卫生健康委全面推进紧密型县域医疗卫生共同体建设发展实施意见》（黔卫健函〔2019〕115号）</w:t>
      </w:r>
      <w:r>
        <w:rPr>
          <w:rFonts w:hint="eastAsia" w:ascii="仿宋" w:hAnsi="仿宋" w:eastAsia="仿宋" w:cs="Times New Roman"/>
          <w:bCs/>
          <w:kern w:val="2"/>
          <w:sz w:val="32"/>
          <w:szCs w:val="32"/>
        </w:rPr>
        <w:t>等文件精神，我州以紧密型医共体建设为抓手，锦屏、黄平、凯里、麻江等县（市）大胆尝试，积极推动，工作取得一定的成效，也积累了一定的工作经验。但对标卫生健康高质量发展和群众期盼，还存在改革体制机制不健全、医共体之间紧密性不够、信息化建设相对滞后等问题；全州在整体推进紧密型县域医共体建设方面重点推进不明确，试点带动不明显，目前还没有形成比较成功的可复制、可参考、可借鉴的黔东南医改经验。</w:t>
      </w:r>
    </w:p>
    <w:p>
      <w:pPr>
        <w:pStyle w:val="5"/>
        <w:spacing w:beforeAutospacing="0" w:afterAutospacing="0" w:line="400" w:lineRule="atLeast"/>
        <w:ind w:firstLine="748" w:firstLineChars="234"/>
        <w:rPr>
          <w:rFonts w:hint="eastAsia" w:ascii="黑体" w:hAnsi="黑体" w:eastAsia="黑体" w:cs="Times New Roman"/>
          <w:bCs/>
          <w:kern w:val="2"/>
          <w:sz w:val="32"/>
          <w:szCs w:val="32"/>
        </w:rPr>
      </w:pPr>
      <w:r>
        <w:rPr>
          <w:rFonts w:hint="eastAsia" w:ascii="黑体" w:hAnsi="黑体" w:eastAsia="黑体" w:cs="Times New Roman"/>
          <w:bCs/>
          <w:kern w:val="2"/>
          <w:sz w:val="32"/>
          <w:szCs w:val="32"/>
        </w:rPr>
        <w:t>二、工作建议</w:t>
      </w:r>
    </w:p>
    <w:p>
      <w:pPr>
        <w:pStyle w:val="5"/>
        <w:spacing w:beforeAutospacing="0" w:afterAutospacing="0" w:line="400" w:lineRule="atLeast"/>
        <w:ind w:firstLine="752" w:firstLineChars="234"/>
        <w:jc w:val="both"/>
        <w:rPr>
          <w:rFonts w:hint="eastAsia" w:ascii="仿宋" w:hAnsi="仿宋" w:eastAsia="仿宋" w:cs="Times New Roman"/>
          <w:bCs/>
          <w:kern w:val="2"/>
          <w:sz w:val="32"/>
          <w:szCs w:val="32"/>
        </w:rPr>
      </w:pPr>
      <w:r>
        <w:rPr>
          <w:rFonts w:hint="eastAsia" w:ascii="仿宋" w:hAnsi="仿宋" w:eastAsia="仿宋" w:cs="Times New Roman"/>
          <w:b/>
          <w:kern w:val="2"/>
          <w:sz w:val="32"/>
          <w:szCs w:val="32"/>
        </w:rPr>
        <w:t>一是</w:t>
      </w:r>
      <w:r>
        <w:rPr>
          <w:rFonts w:hint="eastAsia" w:ascii="仿宋" w:hAnsi="仿宋" w:eastAsia="仿宋" w:cs="Times New Roman"/>
          <w:bCs/>
          <w:kern w:val="2"/>
          <w:sz w:val="32"/>
          <w:szCs w:val="32"/>
        </w:rPr>
        <w:t>加强州级统筹力度，明确重点推进。州级成立由政府分管领导牵头，卫健、编办、人社、财政、医保、发改等部门为成员的紧密型县域医共体建设指导委员会，负责统筹、协调、指导全州医共体建设工作。明确州级重点推进县（市），有目标、有任务，并给予试点一定的政策支持和倾斜。要充分</w:t>
      </w:r>
      <w:r>
        <w:rPr>
          <w:rFonts w:ascii="仿宋" w:hAnsi="仿宋" w:eastAsia="仿宋" w:cs="Times New Roman"/>
          <w:bCs/>
          <w:kern w:val="2"/>
          <w:sz w:val="32"/>
          <w:szCs w:val="32"/>
        </w:rPr>
        <w:t>发挥</w:t>
      </w:r>
      <w:r>
        <w:rPr>
          <w:rFonts w:hint="eastAsia" w:ascii="仿宋" w:hAnsi="仿宋" w:eastAsia="仿宋" w:cs="Times New Roman"/>
          <w:bCs/>
          <w:kern w:val="2"/>
          <w:sz w:val="32"/>
          <w:szCs w:val="32"/>
        </w:rPr>
        <w:t>在医改中党委政府主导作用，对重点推进县（市）要求成立以党委和政府主要领导任“双组长”的医共体管理委员会，建立定期述职制度，形成高效、强力的工作态势。</w:t>
      </w:r>
      <w:r>
        <w:rPr>
          <w:rFonts w:hint="eastAsia" w:ascii="仿宋" w:hAnsi="仿宋" w:eastAsia="仿宋" w:cs="Times New Roman"/>
          <w:b/>
          <w:kern w:val="2"/>
          <w:sz w:val="32"/>
          <w:szCs w:val="32"/>
        </w:rPr>
        <w:t>二是</w:t>
      </w:r>
      <w:r>
        <w:rPr>
          <w:rFonts w:hint="eastAsia" w:ascii="仿宋" w:hAnsi="仿宋" w:eastAsia="仿宋" w:cs="Times New Roman"/>
          <w:bCs/>
          <w:kern w:val="2"/>
          <w:sz w:val="32"/>
          <w:szCs w:val="32"/>
        </w:rPr>
        <w:t>完善体制机制建设，强化部门协同。由医管委领导小组统筹，各职能部门积极参与</w:t>
      </w:r>
      <w:r>
        <w:rPr>
          <w:rFonts w:ascii="仿宋" w:hAnsi="仿宋" w:eastAsia="仿宋" w:cs="Times New Roman"/>
          <w:bCs/>
          <w:kern w:val="2"/>
          <w:sz w:val="32"/>
          <w:szCs w:val="32"/>
        </w:rPr>
        <w:t>，建立健全定期会商、工作推进、部门包保等工作机制，</w:t>
      </w:r>
      <w:r>
        <w:rPr>
          <w:rFonts w:hint="eastAsia" w:ascii="仿宋" w:hAnsi="仿宋" w:eastAsia="仿宋" w:cs="Times New Roman"/>
          <w:bCs/>
          <w:kern w:val="2"/>
          <w:sz w:val="32"/>
          <w:szCs w:val="32"/>
        </w:rPr>
        <w:t>特别是在推进医保总额付费、</w:t>
      </w:r>
      <w:r>
        <w:rPr>
          <w:rFonts w:ascii="仿宋" w:hAnsi="仿宋" w:eastAsia="仿宋" w:cs="Times New Roman"/>
          <w:bCs/>
          <w:kern w:val="2"/>
          <w:sz w:val="32"/>
          <w:szCs w:val="32"/>
        </w:rPr>
        <w:t>薪酬制度改革</w:t>
      </w:r>
      <w:r>
        <w:rPr>
          <w:rFonts w:hint="eastAsia" w:ascii="仿宋" w:hAnsi="仿宋" w:eastAsia="仿宋" w:cs="Times New Roman"/>
          <w:bCs/>
          <w:kern w:val="2"/>
          <w:sz w:val="32"/>
          <w:szCs w:val="32"/>
        </w:rPr>
        <w:t>、</w:t>
      </w:r>
      <w:r>
        <w:rPr>
          <w:rFonts w:ascii="仿宋" w:hAnsi="仿宋" w:eastAsia="仿宋" w:cs="Times New Roman"/>
          <w:bCs/>
          <w:kern w:val="2"/>
          <w:sz w:val="32"/>
          <w:szCs w:val="32"/>
        </w:rPr>
        <w:t>“编</w:t>
      </w:r>
      <w:r>
        <w:rPr>
          <w:rFonts w:hint="eastAsia" w:ascii="仿宋" w:hAnsi="仿宋" w:eastAsia="仿宋" w:cs="Times New Roman"/>
          <w:bCs/>
          <w:kern w:val="2"/>
          <w:sz w:val="32"/>
          <w:szCs w:val="32"/>
        </w:rPr>
        <w:t>制</w:t>
      </w:r>
      <w:r>
        <w:rPr>
          <w:rFonts w:ascii="仿宋" w:hAnsi="仿宋" w:eastAsia="仿宋" w:cs="Times New Roman"/>
          <w:bCs/>
          <w:kern w:val="2"/>
          <w:sz w:val="32"/>
          <w:szCs w:val="32"/>
        </w:rPr>
        <w:t>池”“职称库”</w:t>
      </w:r>
      <w:r>
        <w:rPr>
          <w:rFonts w:hint="eastAsia" w:ascii="仿宋" w:hAnsi="仿宋" w:eastAsia="仿宋" w:cs="Times New Roman"/>
          <w:bCs/>
          <w:kern w:val="2"/>
          <w:sz w:val="32"/>
          <w:szCs w:val="32"/>
        </w:rPr>
        <w:t>“备案制”等方面取得突破，</w:t>
      </w:r>
      <w:r>
        <w:rPr>
          <w:rFonts w:ascii="仿宋" w:hAnsi="仿宋" w:eastAsia="仿宋" w:cs="Times New Roman"/>
          <w:bCs/>
          <w:kern w:val="2"/>
          <w:sz w:val="32"/>
          <w:szCs w:val="32"/>
        </w:rPr>
        <w:t>确保</w:t>
      </w:r>
      <w:r>
        <w:rPr>
          <w:rFonts w:hint="eastAsia" w:ascii="仿宋" w:hAnsi="仿宋" w:eastAsia="仿宋" w:cs="Times New Roman"/>
          <w:bCs/>
          <w:kern w:val="2"/>
          <w:sz w:val="32"/>
          <w:szCs w:val="32"/>
        </w:rPr>
        <w:t>医共体建设</w:t>
      </w:r>
      <w:r>
        <w:rPr>
          <w:rFonts w:ascii="仿宋" w:hAnsi="仿宋" w:eastAsia="仿宋" w:cs="Times New Roman"/>
          <w:bCs/>
          <w:kern w:val="2"/>
          <w:sz w:val="32"/>
          <w:szCs w:val="32"/>
        </w:rPr>
        <w:t>重点任务落地见效</w:t>
      </w:r>
      <w:r>
        <w:rPr>
          <w:rFonts w:hint="eastAsia" w:ascii="仿宋" w:hAnsi="仿宋" w:eastAsia="仿宋" w:cs="Times New Roman"/>
          <w:bCs/>
          <w:kern w:val="2"/>
          <w:sz w:val="32"/>
          <w:szCs w:val="32"/>
        </w:rPr>
        <w:t>。进一步</w:t>
      </w:r>
      <w:r>
        <w:rPr>
          <w:rFonts w:ascii="仿宋" w:hAnsi="仿宋" w:eastAsia="仿宋" w:cs="Times New Roman"/>
          <w:bCs/>
          <w:kern w:val="2"/>
          <w:sz w:val="32"/>
          <w:szCs w:val="32"/>
        </w:rPr>
        <w:t>优化完善医共体内部运行机制，着力破解牵头医院与乡镇卫生院在人员编制、财政供给等方面的体制机制障碍，加快推进行政、人员、业务、药械、财务、绩效、信息等深度融合，进一步构建服务、责任、利益、管理紧密共同体。</w:t>
      </w:r>
      <w:r>
        <w:rPr>
          <w:rFonts w:hint="eastAsia" w:ascii="仿宋" w:hAnsi="仿宋" w:eastAsia="仿宋" w:cs="Times New Roman"/>
          <w:b/>
          <w:kern w:val="2"/>
          <w:sz w:val="32"/>
          <w:szCs w:val="32"/>
        </w:rPr>
        <w:t>三是</w:t>
      </w:r>
      <w:r>
        <w:rPr>
          <w:rFonts w:ascii="仿宋" w:hAnsi="仿宋" w:eastAsia="仿宋" w:cs="Times New Roman"/>
          <w:bCs/>
          <w:kern w:val="2"/>
          <w:sz w:val="32"/>
          <w:szCs w:val="32"/>
        </w:rPr>
        <w:t>优化医疗资源</w:t>
      </w:r>
      <w:r>
        <w:rPr>
          <w:rFonts w:hint="eastAsia" w:ascii="仿宋" w:hAnsi="仿宋" w:eastAsia="仿宋" w:cs="Times New Roman"/>
          <w:bCs/>
          <w:kern w:val="2"/>
          <w:sz w:val="32"/>
          <w:szCs w:val="32"/>
        </w:rPr>
        <w:t>，科学调整规划</w:t>
      </w:r>
      <w:r>
        <w:rPr>
          <w:rFonts w:ascii="仿宋" w:hAnsi="仿宋" w:eastAsia="仿宋" w:cs="Times New Roman"/>
          <w:bCs/>
          <w:kern w:val="2"/>
          <w:sz w:val="32"/>
          <w:szCs w:val="32"/>
        </w:rPr>
        <w:t>布局。以</w:t>
      </w:r>
      <w:r>
        <w:rPr>
          <w:rFonts w:hint="eastAsia" w:ascii="仿宋" w:hAnsi="仿宋" w:eastAsia="仿宋" w:cs="Times New Roman"/>
          <w:bCs/>
          <w:kern w:val="2"/>
          <w:sz w:val="32"/>
          <w:szCs w:val="32"/>
        </w:rPr>
        <w:t>卫生健康高质量发展</w:t>
      </w:r>
      <w:r>
        <w:rPr>
          <w:rFonts w:ascii="仿宋" w:hAnsi="仿宋" w:eastAsia="仿宋" w:cs="Times New Roman"/>
          <w:bCs/>
          <w:kern w:val="2"/>
          <w:sz w:val="32"/>
          <w:szCs w:val="32"/>
        </w:rPr>
        <w:t>为契机，积极稳妥推进基层医疗卫生机构布局优化调整。在</w:t>
      </w:r>
      <w:r>
        <w:rPr>
          <w:rFonts w:hint="eastAsia" w:ascii="仿宋" w:hAnsi="仿宋" w:eastAsia="仿宋" w:cs="Times New Roman"/>
          <w:bCs/>
          <w:kern w:val="2"/>
          <w:sz w:val="32"/>
          <w:szCs w:val="32"/>
        </w:rPr>
        <w:t>县</w:t>
      </w:r>
      <w:r>
        <w:rPr>
          <w:rFonts w:ascii="仿宋" w:hAnsi="仿宋" w:eastAsia="仿宋" w:cs="Times New Roman"/>
          <w:bCs/>
          <w:kern w:val="2"/>
          <w:sz w:val="32"/>
          <w:szCs w:val="32"/>
        </w:rPr>
        <w:t>城，要根据</w:t>
      </w:r>
      <w:r>
        <w:rPr>
          <w:rFonts w:hint="eastAsia" w:ascii="仿宋" w:hAnsi="仿宋" w:eastAsia="仿宋" w:cs="Times New Roman"/>
          <w:bCs/>
          <w:kern w:val="2"/>
          <w:sz w:val="32"/>
          <w:szCs w:val="32"/>
        </w:rPr>
        <w:t>区域</w:t>
      </w:r>
      <w:r>
        <w:rPr>
          <w:rFonts w:ascii="仿宋" w:hAnsi="仿宋" w:eastAsia="仿宋" w:cs="Times New Roman"/>
          <w:bCs/>
          <w:kern w:val="2"/>
          <w:sz w:val="32"/>
          <w:szCs w:val="32"/>
        </w:rPr>
        <w:t>规模不断扩大、人口不断增加的现状，重点加强</w:t>
      </w:r>
      <w:r>
        <w:rPr>
          <w:rFonts w:hint="eastAsia" w:ascii="仿宋" w:hAnsi="仿宋" w:eastAsia="仿宋" w:cs="Times New Roman"/>
          <w:bCs/>
          <w:kern w:val="2"/>
          <w:sz w:val="32"/>
          <w:szCs w:val="32"/>
        </w:rPr>
        <w:t>省级专科建设、县级科室共建、慢性病诊疗中心等</w:t>
      </w:r>
      <w:r>
        <w:rPr>
          <w:rFonts w:ascii="仿宋" w:hAnsi="仿宋" w:eastAsia="仿宋" w:cs="Times New Roman"/>
          <w:bCs/>
          <w:kern w:val="2"/>
          <w:sz w:val="32"/>
          <w:szCs w:val="32"/>
        </w:rPr>
        <w:t>专科能力，</w:t>
      </w:r>
      <w:r>
        <w:rPr>
          <w:rFonts w:hint="eastAsia" w:ascii="仿宋" w:hAnsi="仿宋" w:eastAsia="仿宋" w:cs="Times New Roman"/>
          <w:bCs/>
          <w:kern w:val="2"/>
          <w:sz w:val="32"/>
          <w:szCs w:val="32"/>
        </w:rPr>
        <w:t>努力建成资源上融合发展、业务上分层发展的新格局；在乡镇，</w:t>
      </w:r>
      <w:r>
        <w:rPr>
          <w:rFonts w:ascii="仿宋" w:hAnsi="仿宋" w:eastAsia="仿宋" w:cs="Times New Roman"/>
          <w:bCs/>
          <w:kern w:val="2"/>
          <w:sz w:val="32"/>
          <w:szCs w:val="32"/>
        </w:rPr>
        <w:t>根据人口、区位、交通等实际情况，</w:t>
      </w:r>
      <w:r>
        <w:rPr>
          <w:rFonts w:hint="eastAsia" w:ascii="仿宋" w:hAnsi="仿宋" w:eastAsia="仿宋" w:cs="Times New Roman"/>
          <w:bCs/>
          <w:kern w:val="2"/>
          <w:sz w:val="32"/>
          <w:szCs w:val="32"/>
        </w:rPr>
        <w:t>调整弱小乡镇卫生院的服务模式，节省医疗资源，</w:t>
      </w:r>
      <w:r>
        <w:rPr>
          <w:rFonts w:ascii="仿宋" w:hAnsi="仿宋" w:eastAsia="仿宋" w:cs="Times New Roman"/>
          <w:bCs/>
          <w:kern w:val="2"/>
          <w:sz w:val="32"/>
          <w:szCs w:val="32"/>
        </w:rPr>
        <w:t>有所侧重地打造</w:t>
      </w:r>
      <w:r>
        <w:rPr>
          <w:rFonts w:hint="eastAsia" w:ascii="仿宋" w:hAnsi="仿宋" w:eastAsia="仿宋" w:cs="Times New Roman"/>
          <w:bCs/>
          <w:kern w:val="2"/>
          <w:sz w:val="32"/>
          <w:szCs w:val="32"/>
        </w:rPr>
        <w:t>县</w:t>
      </w:r>
      <w:r>
        <w:rPr>
          <w:rFonts w:ascii="仿宋" w:hAnsi="仿宋" w:eastAsia="仿宋" w:cs="Times New Roman"/>
          <w:bCs/>
          <w:kern w:val="2"/>
          <w:sz w:val="32"/>
          <w:szCs w:val="32"/>
        </w:rPr>
        <w:t>域</w:t>
      </w:r>
      <w:r>
        <w:rPr>
          <w:rFonts w:hint="eastAsia" w:ascii="仿宋" w:hAnsi="仿宋" w:eastAsia="仿宋" w:cs="Times New Roman"/>
          <w:bCs/>
          <w:kern w:val="2"/>
          <w:sz w:val="32"/>
          <w:szCs w:val="32"/>
        </w:rPr>
        <w:t>医疗次中心建设，充分</w:t>
      </w:r>
      <w:r>
        <w:rPr>
          <w:rFonts w:ascii="仿宋" w:hAnsi="仿宋" w:eastAsia="仿宋" w:cs="Times New Roman"/>
          <w:bCs/>
          <w:kern w:val="2"/>
          <w:sz w:val="32"/>
          <w:szCs w:val="32"/>
        </w:rPr>
        <w:t>发挥</w:t>
      </w:r>
      <w:r>
        <w:rPr>
          <w:rFonts w:hint="eastAsia" w:ascii="仿宋" w:hAnsi="仿宋" w:eastAsia="仿宋" w:cs="Times New Roman"/>
          <w:bCs/>
          <w:kern w:val="2"/>
          <w:sz w:val="32"/>
          <w:szCs w:val="32"/>
        </w:rPr>
        <w:t>次中心的片区牵头和</w:t>
      </w:r>
      <w:r>
        <w:rPr>
          <w:rFonts w:ascii="仿宋" w:hAnsi="仿宋" w:eastAsia="仿宋" w:cs="Times New Roman"/>
          <w:bCs/>
          <w:kern w:val="2"/>
          <w:sz w:val="32"/>
          <w:szCs w:val="32"/>
        </w:rPr>
        <w:t>辐射作用，提升</w:t>
      </w:r>
      <w:r>
        <w:rPr>
          <w:rFonts w:hint="eastAsia" w:ascii="仿宋" w:hAnsi="仿宋" w:eastAsia="仿宋" w:cs="Times New Roman"/>
          <w:bCs/>
          <w:kern w:val="2"/>
          <w:sz w:val="32"/>
          <w:szCs w:val="32"/>
        </w:rPr>
        <w:t>基本医疗和基本公卫的</w:t>
      </w:r>
      <w:r>
        <w:rPr>
          <w:rFonts w:ascii="仿宋" w:hAnsi="仿宋" w:eastAsia="仿宋" w:cs="Times New Roman"/>
          <w:bCs/>
          <w:kern w:val="2"/>
          <w:sz w:val="32"/>
          <w:szCs w:val="32"/>
        </w:rPr>
        <w:t>服务效能。</w:t>
      </w:r>
      <w:r>
        <w:rPr>
          <w:rFonts w:hint="eastAsia" w:ascii="仿宋" w:hAnsi="仿宋" w:eastAsia="仿宋" w:cs="Times New Roman"/>
          <w:b/>
          <w:kern w:val="2"/>
          <w:sz w:val="32"/>
          <w:szCs w:val="32"/>
        </w:rPr>
        <w:t>四是</w:t>
      </w:r>
      <w:r>
        <w:rPr>
          <w:rFonts w:hint="eastAsia" w:ascii="仿宋" w:hAnsi="仿宋" w:eastAsia="仿宋" w:cs="Times New Roman"/>
          <w:bCs/>
          <w:kern w:val="2"/>
          <w:sz w:val="32"/>
          <w:szCs w:val="32"/>
        </w:rPr>
        <w:t>建立考核体系，健全考核导向。</w:t>
      </w:r>
      <w:r>
        <w:rPr>
          <w:rFonts w:ascii="仿宋" w:hAnsi="仿宋" w:eastAsia="仿宋" w:cs="Times New Roman"/>
          <w:bCs/>
          <w:kern w:val="2"/>
          <w:sz w:val="32"/>
          <w:szCs w:val="32"/>
        </w:rPr>
        <w:t>建立</w:t>
      </w:r>
      <w:r>
        <w:rPr>
          <w:rFonts w:hint="eastAsia" w:ascii="仿宋" w:hAnsi="仿宋" w:eastAsia="仿宋" w:cs="Times New Roman"/>
          <w:bCs/>
          <w:kern w:val="2"/>
          <w:sz w:val="32"/>
          <w:szCs w:val="32"/>
        </w:rPr>
        <w:t>健全医共体建设评价考核体系</w:t>
      </w:r>
      <w:r>
        <w:rPr>
          <w:rFonts w:ascii="仿宋" w:hAnsi="仿宋" w:eastAsia="仿宋" w:cs="Times New Roman"/>
          <w:bCs/>
          <w:kern w:val="2"/>
          <w:sz w:val="32"/>
          <w:szCs w:val="32"/>
        </w:rPr>
        <w:t>，</w:t>
      </w:r>
      <w:r>
        <w:rPr>
          <w:rFonts w:hint="eastAsia" w:ascii="仿宋" w:hAnsi="仿宋" w:eastAsia="仿宋" w:cs="Times New Roman"/>
          <w:bCs/>
          <w:kern w:val="2"/>
          <w:sz w:val="32"/>
          <w:szCs w:val="32"/>
        </w:rPr>
        <w:t>将医共体建设成效纳入对县级党委政府干部任用业绩考核，考核</w:t>
      </w:r>
      <w:r>
        <w:rPr>
          <w:rFonts w:ascii="仿宋" w:hAnsi="仿宋" w:eastAsia="仿宋" w:cs="Times New Roman"/>
          <w:bCs/>
          <w:kern w:val="2"/>
          <w:sz w:val="32"/>
          <w:szCs w:val="32"/>
        </w:rPr>
        <w:t>结果与县域医共体医保</w:t>
      </w:r>
      <w:r>
        <w:rPr>
          <w:rFonts w:hint="eastAsia" w:ascii="仿宋" w:hAnsi="仿宋" w:eastAsia="仿宋" w:cs="Times New Roman"/>
          <w:bCs/>
          <w:kern w:val="2"/>
          <w:sz w:val="32"/>
          <w:szCs w:val="32"/>
        </w:rPr>
        <w:t>资金</w:t>
      </w:r>
      <w:r>
        <w:rPr>
          <w:rFonts w:ascii="仿宋" w:hAnsi="仿宋" w:eastAsia="仿宋" w:cs="Times New Roman"/>
          <w:bCs/>
          <w:kern w:val="2"/>
          <w:sz w:val="32"/>
          <w:szCs w:val="32"/>
        </w:rPr>
        <w:t>支付、医院等级评审、评优评先、绩效工资总量核定等挂钩。</w:t>
      </w:r>
      <w:r>
        <w:rPr>
          <w:rFonts w:hint="eastAsia" w:ascii="仿宋" w:hAnsi="仿宋" w:eastAsia="仿宋" w:cs="Times New Roman"/>
          <w:b/>
          <w:kern w:val="2"/>
          <w:sz w:val="32"/>
          <w:szCs w:val="32"/>
        </w:rPr>
        <w:t>五是</w:t>
      </w:r>
      <w:r>
        <w:rPr>
          <w:rFonts w:hint="eastAsia" w:ascii="仿宋" w:hAnsi="仿宋" w:eastAsia="仿宋" w:cs="Times New Roman"/>
          <w:bCs/>
          <w:kern w:val="2"/>
          <w:sz w:val="32"/>
          <w:szCs w:val="32"/>
        </w:rPr>
        <w:t>加强宣传引导，强化政策培训。要加强医改政策引导，广泛听取职工意见，进一步统一思想、凝聚共识，增强广大医务人员参与改革的主动性、积极性。充分发挥公共媒体引导作用，加强对医共体建设的宣传，引导群众改变就医观念和习惯，逐步形成有序就医格局。</w:t>
      </w:r>
    </w:p>
    <w:p>
      <w:pPr>
        <w:spacing w:line="560" w:lineRule="exact"/>
        <w:ind w:firstLine="640" w:firstLineChars="200"/>
        <w:rPr>
          <w:rFonts w:ascii="仿宋" w:hAnsi="仿宋" w:eastAsia="仿宋" w:cs="仿宋"/>
          <w:color w:val="333333"/>
          <w:sz w:val="32"/>
          <w:szCs w:val="32"/>
          <w:shd w:val="clear" w:color="auto" w:fill="FFFFFF"/>
        </w:rPr>
      </w:pPr>
    </w:p>
    <w:p>
      <w:pPr>
        <w:spacing w:line="560" w:lineRule="exact"/>
        <w:ind w:firstLine="640" w:firstLineChars="200"/>
        <w:rPr>
          <w:rFonts w:ascii="仿宋" w:hAnsi="仿宋" w:eastAsia="仿宋" w:cs="仿宋"/>
          <w:color w:val="333333"/>
          <w:sz w:val="32"/>
          <w:szCs w:val="32"/>
          <w:shd w:val="clear" w:color="auto" w:fill="FFFFFF"/>
        </w:rPr>
      </w:pPr>
    </w:p>
    <w:p>
      <w:pPr>
        <w:spacing w:line="560" w:lineRule="exact"/>
        <w:ind w:firstLine="643" w:firstLineChars="200"/>
        <w:rPr>
          <w:rStyle w:val="10"/>
          <w:rFonts w:ascii="仿宋" w:hAnsi="仿宋" w:eastAsia="仿宋" w:cs="仿宋"/>
          <w:kern w:val="0"/>
          <w:sz w:val="32"/>
          <w:szCs w:val="32"/>
        </w:rPr>
      </w:pPr>
      <w:r>
        <w:rPr>
          <w:rStyle w:val="10"/>
          <w:rFonts w:hint="eastAsia" w:ascii="黑体" w:hAnsi="黑体" w:eastAsia="黑体" w:cs="黑体"/>
          <w:b/>
          <w:bCs/>
          <w:kern w:val="0"/>
          <w:sz w:val="32"/>
          <w:szCs w:val="32"/>
        </w:rPr>
        <w:t>注：</w:t>
      </w:r>
      <w:r>
        <w:rPr>
          <w:rStyle w:val="10"/>
          <w:rFonts w:hint="eastAsia" w:ascii="仿宋" w:hAnsi="仿宋" w:eastAsia="仿宋" w:cs="仿宋"/>
          <w:kern w:val="0"/>
          <w:sz w:val="32"/>
          <w:szCs w:val="32"/>
        </w:rPr>
        <w:t>1、提案会办单位需将会办意见送主办单位，由主办单位连同《提案答复件》、《征询意见表》一并抄送州政协；（涉及目标考核）</w:t>
      </w:r>
    </w:p>
    <w:p>
      <w:pPr>
        <w:spacing w:line="560" w:lineRule="exact"/>
        <w:ind w:firstLine="1280" w:firstLineChars="400"/>
        <w:rPr>
          <w:rStyle w:val="10"/>
          <w:rFonts w:ascii="仿宋" w:hAnsi="仿宋" w:eastAsia="仿宋" w:cs="仿宋"/>
          <w:kern w:val="0"/>
          <w:sz w:val="32"/>
          <w:szCs w:val="32"/>
        </w:rPr>
      </w:pPr>
      <w:r>
        <w:rPr>
          <w:rStyle w:val="10"/>
          <w:rFonts w:hint="eastAsia" w:ascii="仿宋" w:hAnsi="仿宋" w:eastAsia="仿宋" w:cs="仿宋"/>
          <w:kern w:val="0"/>
          <w:sz w:val="32"/>
          <w:szCs w:val="32"/>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2"/>
  </w:compat>
  <w:rsids>
    <w:rsidRoot w:val="00FB6911"/>
    <w:rsid w:val="000011F3"/>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61A82"/>
    <w:rsid w:val="00A623EC"/>
    <w:rsid w:val="00A75BD7"/>
    <w:rsid w:val="00A94399"/>
    <w:rsid w:val="00A97C93"/>
    <w:rsid w:val="00C76ECC"/>
    <w:rsid w:val="00D123BF"/>
    <w:rsid w:val="00DD129A"/>
    <w:rsid w:val="00EA1493"/>
    <w:rsid w:val="00FB6911"/>
    <w:rsid w:val="00FF3F01"/>
    <w:rsid w:val="06503351"/>
    <w:rsid w:val="07D26AFC"/>
    <w:rsid w:val="10B40BCC"/>
    <w:rsid w:val="118823F2"/>
    <w:rsid w:val="18EC1E64"/>
    <w:rsid w:val="1BAB45FA"/>
    <w:rsid w:val="21EA0B57"/>
    <w:rsid w:val="29EB237C"/>
    <w:rsid w:val="2FD84B80"/>
    <w:rsid w:val="30B878C9"/>
    <w:rsid w:val="33552650"/>
    <w:rsid w:val="377737A4"/>
    <w:rsid w:val="38D60616"/>
    <w:rsid w:val="3A7B4D73"/>
    <w:rsid w:val="3F1A5C90"/>
    <w:rsid w:val="42F10C9F"/>
    <w:rsid w:val="4A196944"/>
    <w:rsid w:val="4B584D82"/>
    <w:rsid w:val="4F6B5D70"/>
    <w:rsid w:val="507F065A"/>
    <w:rsid w:val="5236789E"/>
    <w:rsid w:val="559F1A55"/>
    <w:rsid w:val="5A7C34BF"/>
    <w:rsid w:val="5AA17385"/>
    <w:rsid w:val="5B7C24C8"/>
    <w:rsid w:val="5E9F6D2C"/>
    <w:rsid w:val="61895CCF"/>
    <w:rsid w:val="640D7930"/>
    <w:rsid w:val="66F35DD9"/>
    <w:rsid w:val="6854075C"/>
    <w:rsid w:val="69A37ABB"/>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uiPriority w:val="0"/>
    <w:rPr>
      <w:sz w:val="18"/>
      <w:szCs w:val="18"/>
    </w:rPr>
  </w:style>
  <w:style w:type="paragraph" w:styleId="3">
    <w:name w:val="footer"/>
    <w:basedOn w:val="1"/>
    <w:link w:val="20"/>
    <w:qFormat/>
    <w:uiPriority w:val="99"/>
    <w:pPr>
      <w:snapToGrid w:val="0"/>
      <w:jc w:val="left"/>
    </w:pPr>
    <w:rPr>
      <w:sz w:val="18"/>
      <w:szCs w:val="18"/>
    </w:rPr>
  </w:style>
  <w:style w:type="paragraph" w:styleId="4">
    <w:name w:val="header"/>
    <w:basedOn w:val="1"/>
    <w:qFormat/>
    <w:uiPriority w:val="0"/>
    <w:pPr>
      <w:pBdr>
        <w:bottom w:val="single" w:color="000000" w:sz="6" w:space="0"/>
      </w:pBdr>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cs="Times New Roman"/>
      <w:b/>
      <w:bCs/>
    </w:rPr>
  </w:style>
  <w:style w:type="character" w:styleId="9">
    <w:name w:val="Hyperlink"/>
    <w:basedOn w:val="10"/>
    <w:semiHidden/>
    <w:qFormat/>
    <w:uiPriority w:val="0"/>
    <w:rPr>
      <w:color w:val="0000FF"/>
      <w:u w:val="single"/>
    </w:rPr>
  </w:style>
  <w:style w:type="character" w:customStyle="1" w:styleId="10">
    <w:name w:val="NormalCharacter"/>
    <w:semiHidden/>
    <w:qFormat/>
    <w:uiPriority w:val="0"/>
  </w:style>
  <w:style w:type="paragraph" w:customStyle="1" w:styleId="11">
    <w:name w:val="Heading1"/>
    <w:basedOn w:val="1"/>
    <w:link w:val="17"/>
    <w:qFormat/>
    <w:uiPriority w:val="0"/>
    <w:pPr>
      <w:spacing w:before="100" w:beforeAutospacing="1" w:after="100" w:afterAutospacing="1"/>
      <w:jc w:val="left"/>
    </w:pPr>
    <w:rPr>
      <w:rFonts w:ascii="宋体" w:hAnsi="宋体" w:cs="宋体"/>
      <w:b/>
      <w:bCs/>
      <w:kern w:val="36"/>
      <w:sz w:val="48"/>
      <w:szCs w:val="48"/>
    </w:rPr>
  </w:style>
  <w:style w:type="table" w:customStyle="1" w:styleId="12">
    <w:name w:val="TableNormal"/>
    <w:semiHidden/>
    <w:qFormat/>
    <w:uiPriority w:val="0"/>
    <w:tblPr>
      <w:tblCellMar>
        <w:top w:w="0" w:type="dxa"/>
        <w:left w:w="0" w:type="dxa"/>
        <w:bottom w:w="0" w:type="dxa"/>
        <w:right w:w="0" w:type="dxa"/>
      </w:tblCellMar>
    </w:tblPr>
  </w:style>
  <w:style w:type="paragraph" w:customStyle="1" w:styleId="13">
    <w:name w:val="Acetate"/>
    <w:basedOn w:val="1"/>
    <w:qFormat/>
    <w:uiPriority w:val="0"/>
    <w:rPr>
      <w:sz w:val="18"/>
      <w:szCs w:val="18"/>
    </w:rPr>
  </w:style>
  <w:style w:type="paragraph" w:customStyle="1" w:styleId="14">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5">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6">
    <w:name w:val="UserStyle_2"/>
    <w:basedOn w:val="1"/>
    <w:qFormat/>
    <w:uiPriority w:val="0"/>
    <w:pPr>
      <w:spacing w:before="100" w:beforeAutospacing="1" w:after="100" w:afterAutospacing="1"/>
      <w:jc w:val="left"/>
    </w:pPr>
    <w:rPr>
      <w:rFonts w:ascii="宋体" w:hAnsi="宋体"/>
      <w:kern w:val="0"/>
      <w:sz w:val="24"/>
    </w:rPr>
  </w:style>
  <w:style w:type="character" w:customStyle="1" w:styleId="17">
    <w:name w:val="UserStyle_3"/>
    <w:basedOn w:val="10"/>
    <w:link w:val="11"/>
    <w:qFormat/>
    <w:uiPriority w:val="0"/>
    <w:rPr>
      <w:rFonts w:ascii="宋体" w:hAnsi="宋体" w:cs="宋体"/>
      <w:b/>
      <w:bCs/>
      <w:kern w:val="36"/>
      <w:sz w:val="48"/>
      <w:szCs w:val="48"/>
    </w:rPr>
  </w:style>
  <w:style w:type="character" w:customStyle="1" w:styleId="18">
    <w:name w:val="UserStyle_4"/>
    <w:basedOn w:val="10"/>
    <w:qFormat/>
    <w:uiPriority w:val="0"/>
  </w:style>
  <w:style w:type="paragraph" w:customStyle="1" w:styleId="19">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0">
    <w:name w:val="页脚 Char"/>
    <w:basedOn w:val="7"/>
    <w:link w:val="3"/>
    <w:qFormat/>
    <w:uiPriority w:val="99"/>
    <w:rPr>
      <w:rFonts w:cstheme="minorBidi"/>
      <w:kern w:val="2"/>
      <w:sz w:val="18"/>
      <w:szCs w:val="18"/>
    </w:rPr>
  </w:style>
  <w:style w:type="character" w:customStyle="1" w:styleId="21">
    <w:name w:val="批注框文本 Char"/>
    <w:basedOn w:val="7"/>
    <w:link w:val="2"/>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258</Words>
  <Characters>1473</Characters>
  <Lines>12</Lines>
  <Paragraphs>3</Paragraphs>
  <TotalTime>2</TotalTime>
  <ScaleCrop>false</ScaleCrop>
  <LinksUpToDate>false</LinksUpToDate>
  <CharactersWithSpaces>1728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2022-01-05T03:16:00Z</dcterms:created>
  <dc:creator>Administrator</dc:creator>
  <cp:lastModifiedBy>丘丘</cp:lastModifiedBy>
  <cp:lastPrinted>2022-01-08T04:49:58Z</cp:lastPrinted>
  <dcterms:modified xsi:type="dcterms:W3CDTF">2022-01-08T04:50:37Z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0BEFFA9D6DA34548976C4312CA596319</vt:lpwstr>
  </property>
</Properties>
</file>