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提案</w:t>
      </w: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760" w:lineRule="exact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8" o:spid="_x0000_s1028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320" w:lineRule="exac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</w:rPr>
        <w:t>080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类别：经济建设类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7" o:spid="_x0000_s1027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关于共同推进绿色金融助力绿色经济高质量发展的建议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主办：州金融办    会办：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州人行、黔东南银保监分局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/>
                <w:kern w:val="0"/>
                <w:sz w:val="24"/>
              </w:rPr>
              <w:t>封光荣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凯里市苗侗风情园贵州农信黔东南审计中心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556000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18166760586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州委办秘书五科：8270060；州政府办建议提案科：8260016；</w:t>
            </w:r>
          </w:p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州政协提案委：8428866。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560" w:lineRule="exact"/>
        <w:rPr>
          <w:rStyle w:val="10"/>
          <w:rFonts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内容和办法：</w:t>
      </w:r>
    </w:p>
    <w:p>
      <w:pPr>
        <w:ind w:firstLine="627" w:firstLineChars="196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一、现状分析</w:t>
      </w:r>
    </w:p>
    <w:p>
      <w:pPr>
        <w:ind w:firstLine="627" w:firstLineChars="19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2021年2月3日至5日，习近平总书记到贵州视察时强调，优良生态环境是贵州最大的发展优势和竞争优势。要牢固树立生态优先、绿色发展的导向，统筹山水林田湖草系统治理，加大生态系统保护力度，科学推进石漠化、水土流失综合治理，不断做好绿水青山就是金山银山这篇大文章。因此，贵州坚持走好生态优先、绿色发展之路，是立足新发展阶段、贯彻新发展理念、构建新发展格局的必然要求。但我们也清醒看到，在疫情和经济下行的双重影响下，金融服务绿色经济发展还面临着较大困难和挑战，如：绿色产业政策引导上未发力、绿色信贷政策保障上未建立、绿色金融服务体系未健全和绿色金融税收优惠政策上未完善。针对目前绿色金融存在的突出问题，绿色金融体系亟须社会各方共同推进和完善。同时，农信社作为地方法人金融机构，我们紧紧围绕“四新”主攻“四化”，服务全省经济社会发展大局，切实加大绿色信贷投放力度，助力全省绿色经济高质量发展。</w:t>
      </w:r>
    </w:p>
    <w:p>
      <w:pPr>
        <w:ind w:firstLine="627" w:firstLineChars="196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二、工作建议</w:t>
      </w:r>
    </w:p>
    <w:p>
      <w:pPr>
        <w:ind w:firstLine="627" w:firstLineChars="196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第一，强化绿色政策宣传引导。</w:t>
      </w:r>
    </w:p>
    <w:p>
      <w:pPr>
        <w:ind w:firstLine="627" w:firstLineChars="19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在国家“大生态”政策和“十四五”规划指引下，以绿色为导向的产业发展迎来了快速发展期，围绕碳中和、碳达峰战略，各级各部门应加大绿色发展政策的宣传力度，构建持续、高效、快捷、准确的绿色评价体系，逐步将绿色指标纳入企业健康生产发展、获取金融机构信贷政策支持的关键考量。</w:t>
      </w:r>
    </w:p>
    <w:p>
      <w:pPr>
        <w:ind w:firstLine="627" w:firstLineChars="196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第二，健全绿色金融服务体系。</w:t>
      </w:r>
    </w:p>
    <w:p>
      <w:pPr>
        <w:ind w:firstLine="627" w:firstLineChars="19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针对当前绿色产业发展，要以围绕绿色产业高质量发展为核心，进一步建立健全绿色金融服务体系。一是信贷资金上重点向绿色产业倾斜，确保绿色企业最大限度获得绿色金融资金支持。二是绿色产业上做好项目评估评审工作，开通绿色产业申贷“绿色通道”，构建“快审快批”绿色审批机制。三是支付手段上畅通结算渠道，全方位推动绿色产业全产业链金融服务。四是抵押担保上创新担保方式，探索拓宽绿色资源抵押担保，真正将资源优势转化成发展优势，“绿水青山”转变成“金山银山”，助推贵州绿色产业不断发展壮大。</w:t>
      </w:r>
    </w:p>
    <w:p>
      <w:pPr>
        <w:ind w:firstLine="627" w:firstLineChars="196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</w:t>
      </w:r>
      <w:r>
        <w:rPr>
          <w:rFonts w:hint="eastAsia" w:ascii="楷体" w:hAnsi="楷体" w:eastAsia="楷体" w:cs="楷体_GB2312"/>
          <w:sz w:val="32"/>
          <w:szCs w:val="32"/>
        </w:rPr>
        <w:t>第三，建立绿色发展保障机制。</w:t>
      </w:r>
    </w:p>
    <w:p>
      <w:pPr>
        <w:ind w:firstLine="627" w:firstLineChars="19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大力发展绿色金融已经是贵州各金融机构的普遍共识，但客观上我省许多绿色产业底子薄、发展后劲不足，缺乏有效保障机制，这在一定程度上制约了我省绿色经济的发展。因此，在发展绿色产业上，建议州政府从政策顶层设计上，考虑建立绿色发展资金池，为绿色信贷、绿色债券等企业融资提供担保，帮助企业降低融资成本。同时，建议州政府考虑建立金融机构绿色信贷风险补偿机制，从风险补偿金上、监管政策不良容忍度上、央行再贷款政策支持上、专项绿色信贷税收优惠上给予绿色金融机构支持与激励，通过政府政策驱动，进一步激发金融机构对绿色产业发展的信心和决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B6911"/>
    <w:rsid w:val="00062089"/>
    <w:rsid w:val="001E1D16"/>
    <w:rsid w:val="002F6404"/>
    <w:rsid w:val="00372D70"/>
    <w:rsid w:val="004D0222"/>
    <w:rsid w:val="004E6BC5"/>
    <w:rsid w:val="00507FB8"/>
    <w:rsid w:val="00551F39"/>
    <w:rsid w:val="00554776"/>
    <w:rsid w:val="005F3292"/>
    <w:rsid w:val="00654375"/>
    <w:rsid w:val="007055DB"/>
    <w:rsid w:val="007B5B1C"/>
    <w:rsid w:val="007D1DFD"/>
    <w:rsid w:val="00840276"/>
    <w:rsid w:val="008A6967"/>
    <w:rsid w:val="008E32D7"/>
    <w:rsid w:val="008E5289"/>
    <w:rsid w:val="00901DF0"/>
    <w:rsid w:val="00A351EC"/>
    <w:rsid w:val="00A75BD7"/>
    <w:rsid w:val="00A94399"/>
    <w:rsid w:val="00A97C93"/>
    <w:rsid w:val="00B274CA"/>
    <w:rsid w:val="00C76ECC"/>
    <w:rsid w:val="00D123BF"/>
    <w:rsid w:val="00DD129A"/>
    <w:rsid w:val="00DF55E5"/>
    <w:rsid w:val="00EA1493"/>
    <w:rsid w:val="00FB6911"/>
    <w:rsid w:val="00FF3F01"/>
    <w:rsid w:val="06503351"/>
    <w:rsid w:val="07D26AFC"/>
    <w:rsid w:val="10B40BCC"/>
    <w:rsid w:val="118823F2"/>
    <w:rsid w:val="18EC1E64"/>
    <w:rsid w:val="1BAB45FA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4FDA0527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  <w:style w:type="character" w:customStyle="1" w:styleId="21">
    <w:name w:val="批注框文本 Char"/>
    <w:basedOn w:val="7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231</Words>
  <Characters>1318</Characters>
  <Lines>10</Lines>
  <Paragraphs>3</Paragraphs>
  <TotalTime>2</TotalTime>
  <ScaleCrop>false</ScaleCrop>
  <LinksUpToDate>false</LinksUpToDate>
  <CharactersWithSpaces>1546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2022-01-04T08:04:00Z</dcterms:created>
  <dc:creator>Administrator</dc:creator>
  <cp:lastModifiedBy>丘丘</cp:lastModifiedBy>
  <cp:lastPrinted>2021-02-26T02:55:00Z</cp:lastPrinted>
  <dcterms:modified xsi:type="dcterms:W3CDTF">2022-03-29T06:33:11Z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0BEFFA9D6DA34548976C4312CA596319</vt:lpwstr>
  </property>
</Properties>
</file>