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0" w:beforeAutospacing="0" w:after="0" w:afterAutospacing="0" w:line="600" w:lineRule="exact"/>
        <w:jc w:val="center"/>
        <w:rPr>
          <w:rStyle w:val="11"/>
          <w:rFonts w:ascii="黑体" w:eastAsia="黑体"/>
          <w:sz w:val="44"/>
          <w:szCs w:val="44"/>
        </w:rPr>
      </w:pPr>
      <w:r>
        <w:rPr>
          <w:rStyle w:val="9"/>
          <w:rFonts w:ascii="黑体" w:eastAsia="黑体" w:cs="宋体"/>
          <w:sz w:val="44"/>
          <w:szCs w:val="44"/>
        </w:rPr>
        <w:t>中国人民政治协商会议</w:t>
      </w:r>
    </w:p>
    <w:p>
      <w:pPr>
        <w:pStyle w:val="16"/>
        <w:spacing w:before="0" w:beforeAutospacing="0" w:after="0" w:afterAutospacing="0" w:line="600" w:lineRule="exact"/>
        <w:jc w:val="center"/>
        <w:rPr>
          <w:rStyle w:val="11"/>
          <w:rFonts w:hint="eastAsia"/>
          <w:sz w:val="44"/>
          <w:szCs w:val="44"/>
        </w:rPr>
      </w:pPr>
      <w:r>
        <w:rPr>
          <w:rStyle w:val="11"/>
          <w:sz w:val="44"/>
          <w:szCs w:val="44"/>
        </w:rPr>
        <w:t>黔东南苗族侗族自治州委员会</w:t>
      </w:r>
    </w:p>
    <w:p>
      <w:pPr>
        <w:pStyle w:val="16"/>
        <w:spacing w:before="0" w:beforeAutospacing="0" w:after="0" w:afterAutospacing="0" w:line="600" w:lineRule="exact"/>
        <w:jc w:val="center"/>
        <w:rPr>
          <w:rStyle w:val="11"/>
          <w:rFonts w:hint="eastAsia"/>
          <w:sz w:val="44"/>
          <w:szCs w:val="44"/>
        </w:rPr>
      </w:pPr>
      <w:r>
        <w:rPr>
          <w:rStyle w:val="11"/>
          <w:sz w:val="44"/>
          <w:szCs w:val="44"/>
        </w:rPr>
        <w:t>提</w:t>
      </w:r>
      <w:r>
        <w:rPr>
          <w:rStyle w:val="11"/>
          <w:rFonts w:hint="eastAsia"/>
          <w:sz w:val="44"/>
          <w:szCs w:val="44"/>
        </w:rPr>
        <w:t xml:space="preserve">   </w:t>
      </w:r>
      <w:r>
        <w:rPr>
          <w:rStyle w:val="11"/>
          <w:sz w:val="44"/>
          <w:szCs w:val="44"/>
        </w:rPr>
        <w:t>案</w:t>
      </w:r>
    </w:p>
    <w:p>
      <w:pPr>
        <w:spacing w:line="320" w:lineRule="exact"/>
        <w:jc w:val="center"/>
        <w:textAlignment w:val="top"/>
        <w:rPr>
          <w:rStyle w:val="11"/>
          <w:rFonts w:hint="eastAsia" w:ascii="宋体" w:hAnsi="宋体"/>
          <w:kern w:val="0"/>
          <w:sz w:val="24"/>
        </w:rPr>
      </w:pPr>
    </w:p>
    <w:p>
      <w:pPr>
        <w:spacing w:line="320" w:lineRule="exact"/>
        <w:jc w:val="center"/>
        <w:textAlignment w:val="top"/>
        <w:rPr>
          <w:rStyle w:val="11"/>
          <w:rFonts w:hint="eastAsia" w:ascii="宋体" w:hAnsi="宋体"/>
          <w:kern w:val="0"/>
          <w:sz w:val="24"/>
        </w:rPr>
      </w:pPr>
    </w:p>
    <w:p>
      <w:pPr>
        <w:spacing w:line="760" w:lineRule="exact"/>
        <w:jc w:val="both"/>
        <w:textAlignment w:val="top"/>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1"/>
          <w:rFonts w:hint="default" w:ascii="宋体" w:hAnsi="宋体" w:eastAsia="宋体"/>
          <w:kern w:val="0"/>
          <w:sz w:val="24"/>
          <w:lang w:val="en-US" w:eastAsia="zh-CN"/>
        </w:rPr>
      </w:pPr>
      <w:r>
        <w:rPr>
          <w:rStyle w:val="11"/>
          <w:rFonts w:ascii="宋体" w:hAnsi="宋体"/>
          <w:kern w:val="0"/>
          <w:sz w:val="24"/>
        </w:rPr>
        <w:t>第十</w:t>
      </w:r>
      <w:r>
        <w:rPr>
          <w:rStyle w:val="11"/>
          <w:rFonts w:hint="eastAsia" w:ascii="宋体" w:hAnsi="宋体"/>
          <w:kern w:val="0"/>
          <w:sz w:val="24"/>
          <w:lang w:val="en-US" w:eastAsia="zh-CN"/>
        </w:rPr>
        <w:t>三</w:t>
      </w:r>
      <w:r>
        <w:rPr>
          <w:rStyle w:val="11"/>
          <w:rFonts w:ascii="宋体" w:hAnsi="宋体"/>
          <w:kern w:val="0"/>
          <w:sz w:val="24"/>
        </w:rPr>
        <w:t>届第</w:t>
      </w:r>
      <w:r>
        <w:rPr>
          <w:rStyle w:val="11"/>
          <w:rFonts w:hint="eastAsia" w:ascii="宋体" w:hAnsi="宋体"/>
          <w:kern w:val="0"/>
          <w:sz w:val="24"/>
          <w:lang w:val="en-US" w:eastAsia="zh-CN"/>
        </w:rPr>
        <w:t>一</w:t>
      </w:r>
      <w:r>
        <w:rPr>
          <w:rStyle w:val="11"/>
          <w:rFonts w:ascii="宋体" w:hAnsi="宋体"/>
          <w:kern w:val="0"/>
          <w:sz w:val="24"/>
        </w:rPr>
        <w:t>次会议　       　第</w:t>
      </w:r>
      <w:r>
        <w:rPr>
          <w:rStyle w:val="11"/>
          <w:rFonts w:hint="eastAsia" w:ascii="宋体" w:hAnsi="宋体"/>
          <w:kern w:val="0"/>
          <w:sz w:val="24"/>
          <w:lang w:val="en-US" w:eastAsia="zh-CN"/>
        </w:rPr>
        <w:t>144</w:t>
      </w:r>
      <w:r>
        <w:rPr>
          <w:rStyle w:val="11"/>
          <w:rFonts w:ascii="宋体" w:hAnsi="宋体"/>
          <w:kern w:val="0"/>
          <w:sz w:val="24"/>
        </w:rPr>
        <w:t xml:space="preserve">号　    </w:t>
      </w:r>
      <w:r>
        <w:rPr>
          <w:rStyle w:val="11"/>
          <w:rFonts w:hint="eastAsia" w:ascii="宋体" w:hAnsi="宋体"/>
          <w:kern w:val="0"/>
          <w:sz w:val="24"/>
        </w:rPr>
        <w:t xml:space="preserve">    </w:t>
      </w:r>
      <w:r>
        <w:rPr>
          <w:rStyle w:val="11"/>
          <w:rFonts w:hint="eastAsia" w:ascii="宋体" w:hAnsi="宋体"/>
          <w:kern w:val="0"/>
          <w:sz w:val="24"/>
          <w:lang w:val="en-US" w:eastAsia="zh-CN"/>
        </w:rPr>
        <w:t xml:space="preserve"> 类别：社会建设类     </w:t>
      </w:r>
    </w:p>
    <w:p>
      <w:pPr>
        <w:spacing w:line="320" w:lineRule="exact"/>
        <w:jc w:val="left"/>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7"/>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案</w:t>
            </w:r>
            <w:r>
              <w:rPr>
                <w:rStyle w:val="11"/>
                <w:rFonts w:ascii="宋体" w:hAnsi="宋体" w:eastAsia="黑体" w:cs="宋体"/>
                <w:b/>
                <w:bCs/>
                <w:kern w:val="0"/>
                <w:sz w:val="24"/>
              </w:rPr>
              <w:t>  </w:t>
            </w:r>
            <w:r>
              <w:rPr>
                <w:rStyle w:val="11"/>
                <w:rFonts w:ascii="黑体" w:hAnsi="宋体" w:eastAsia="黑体" w:cs="宋体"/>
                <w:b/>
                <w:bCs/>
                <w:kern w:val="0"/>
                <w:sz w:val="24"/>
              </w:rPr>
              <w:t>由</w:t>
            </w:r>
            <w:r>
              <w:rPr>
                <w:rStyle w:val="11"/>
                <w:rFonts w:ascii="宋体" w:hAnsi="宋体" w:cs="宋体"/>
                <w:b/>
                <w:bCs/>
                <w:kern w:val="0"/>
                <w:sz w:val="24"/>
              </w:rPr>
              <w:t>：</w:t>
            </w:r>
          </w:p>
        </w:tc>
        <w:tc>
          <w:tcPr>
            <w:tcW w:w="6797" w:type="dxa"/>
            <w:gridSpan w:val="3"/>
            <w:vAlign w:val="center"/>
          </w:tcPr>
          <w:p>
            <w:pPr>
              <w:jc w:val="left"/>
              <w:rPr>
                <w:rStyle w:val="11"/>
                <w:rFonts w:ascii="宋体" w:hAnsi="宋体" w:cs="宋体"/>
                <w:b/>
                <w:bCs/>
                <w:kern w:val="0"/>
                <w:sz w:val="24"/>
              </w:rPr>
            </w:pPr>
            <w:r>
              <w:rPr>
                <w:rStyle w:val="11"/>
                <w:rFonts w:hint="eastAsia" w:ascii="宋体" w:hAnsi="宋体" w:cs="宋体"/>
                <w:b/>
                <w:bCs/>
                <w:kern w:val="0"/>
                <w:sz w:val="24"/>
              </w:rPr>
              <w:t>关于加快农村养老服务的建议</w:t>
            </w:r>
          </w:p>
        </w:tc>
      </w:tr>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审查意见</w:t>
            </w:r>
            <w:r>
              <w:rPr>
                <w:rStyle w:val="11"/>
                <w:rFonts w:ascii="宋体" w:hAnsi="宋体" w:cs="宋体"/>
                <w:b/>
                <w:bCs/>
                <w:kern w:val="0"/>
                <w:sz w:val="24"/>
              </w:rPr>
              <w:t>：</w:t>
            </w:r>
          </w:p>
        </w:tc>
        <w:tc>
          <w:tcPr>
            <w:tcW w:w="6797" w:type="dxa"/>
            <w:gridSpan w:val="3"/>
            <w:vAlign w:val="center"/>
          </w:tcPr>
          <w:p>
            <w:pPr>
              <w:jc w:val="left"/>
              <w:rPr>
                <w:rStyle w:val="11"/>
                <w:rFonts w:hint="default" w:ascii="宋体" w:hAnsi="宋体"/>
                <w:kern w:val="0"/>
                <w:sz w:val="24"/>
                <w:lang w:val="en-US" w:eastAsia="zh-CN"/>
              </w:rPr>
            </w:pPr>
            <w:r>
              <w:rPr>
                <w:rStyle w:val="11"/>
                <w:rFonts w:hint="eastAsia" w:ascii="宋体" w:hAnsi="宋体"/>
                <w:kern w:val="0"/>
                <w:sz w:val="24"/>
                <w:lang w:eastAsia="zh-CN"/>
              </w:rPr>
              <w:t>主办：州民政局</w:t>
            </w:r>
            <w:r>
              <w:rPr>
                <w:rStyle w:val="11"/>
                <w:rFonts w:hint="eastAsia" w:ascii="宋体" w:hAnsi="宋体"/>
                <w:kern w:val="0"/>
                <w:sz w:val="24"/>
                <w:lang w:val="en-US" w:eastAsia="zh-CN"/>
              </w:rPr>
              <w:t xml:space="preserve">  会办：</w:t>
            </w:r>
          </w:p>
        </w:tc>
      </w:tr>
      <w:tr>
        <w:tblPrEx>
          <w:tblCellMar>
            <w:top w:w="0" w:type="dxa"/>
            <w:left w:w="15" w:type="dxa"/>
            <w:bottom w:w="0" w:type="dxa"/>
            <w:right w:w="15" w:type="dxa"/>
          </w:tblCellMar>
        </w:tblPrEx>
        <w:tc>
          <w:tcPr>
            <w:tcW w:w="1753" w:type="dxa"/>
            <w:vAlign w:val="center"/>
          </w:tcPr>
          <w:p>
            <w:pPr>
              <w:jc w:val="left"/>
              <w:rPr>
                <w:rStyle w:val="11"/>
                <w:rFonts w:ascii="黑体" w:hAnsi="宋体" w:eastAsia="黑体"/>
                <w:kern w:val="0"/>
                <w:sz w:val="24"/>
              </w:rPr>
            </w:pPr>
            <w:r>
              <w:rPr>
                <w:rStyle w:val="11"/>
                <w:rFonts w:ascii="黑体" w:hAnsi="宋体" w:eastAsia="黑体" w:cs="宋体"/>
                <w:b/>
                <w:bCs/>
                <w:kern w:val="0"/>
                <w:sz w:val="24"/>
              </w:rPr>
              <w:t>提</w:t>
            </w:r>
            <w:r>
              <w:rPr>
                <w:rStyle w:val="11"/>
                <w:rFonts w:hint="eastAsia" w:ascii="黑体" w:hAnsi="宋体" w:eastAsia="黑体" w:cs="宋体"/>
                <w:b/>
                <w:bCs/>
                <w:kern w:val="0"/>
                <w:sz w:val="24"/>
                <w:lang w:val="en-US" w:eastAsia="zh-CN"/>
              </w:rPr>
              <w:t xml:space="preserve"> </w:t>
            </w:r>
            <w:r>
              <w:rPr>
                <w:rStyle w:val="11"/>
                <w:rFonts w:ascii="黑体" w:hAnsi="宋体" w:eastAsia="黑体" w:cs="宋体"/>
                <w:b/>
                <w:bCs/>
                <w:kern w:val="0"/>
                <w:sz w:val="24"/>
              </w:rPr>
              <w:t>案</w:t>
            </w:r>
            <w:r>
              <w:rPr>
                <w:rStyle w:val="11"/>
                <w:rFonts w:hint="eastAsia" w:ascii="黑体" w:hAnsi="宋体" w:eastAsia="黑体" w:cs="宋体"/>
                <w:b/>
                <w:bCs/>
                <w:kern w:val="0"/>
                <w:sz w:val="24"/>
                <w:lang w:val="en-US" w:eastAsia="zh-CN"/>
              </w:rPr>
              <w:t xml:space="preserve"> </w:t>
            </w:r>
            <w:r>
              <w:rPr>
                <w:rStyle w:val="11"/>
                <w:rFonts w:ascii="黑体" w:hAnsi="宋体" w:eastAsia="黑体" w:cs="宋体"/>
                <w:b/>
                <w:bCs/>
                <w:kern w:val="0"/>
                <w:sz w:val="24"/>
              </w:rPr>
              <w:t>人</w:t>
            </w:r>
            <w:r>
              <w:rPr>
                <w:rStyle w:val="11"/>
                <w:rFonts w:ascii="宋体" w:hAnsi="宋体" w:eastAsia="黑体" w:cs="宋体"/>
                <w:b/>
                <w:bCs/>
                <w:kern w:val="0"/>
                <w:sz w:val="24"/>
              </w:rPr>
              <w:t>：</w:t>
            </w:r>
          </w:p>
        </w:tc>
        <w:tc>
          <w:tcPr>
            <w:tcW w:w="3872" w:type="dxa"/>
            <w:vAlign w:val="center"/>
          </w:tcPr>
          <w:p>
            <w:pPr>
              <w:jc w:val="left"/>
              <w:rPr>
                <w:rStyle w:val="11"/>
                <w:rFonts w:ascii="宋体" w:hAnsi="宋体"/>
                <w:kern w:val="0"/>
                <w:sz w:val="24"/>
              </w:rPr>
            </w:pPr>
            <w:r>
              <w:rPr>
                <w:rStyle w:val="11"/>
                <w:rFonts w:ascii="宋体" w:hAnsi="宋体" w:cs="宋体"/>
                <w:b/>
                <w:bCs/>
                <w:kern w:val="0"/>
                <w:sz w:val="24"/>
              </w:rPr>
              <w:t>通讯地址</w:t>
            </w:r>
          </w:p>
        </w:tc>
        <w:tc>
          <w:tcPr>
            <w:tcW w:w="1440" w:type="dxa"/>
            <w:vAlign w:val="center"/>
          </w:tcPr>
          <w:p>
            <w:pPr>
              <w:jc w:val="left"/>
              <w:rPr>
                <w:rStyle w:val="11"/>
                <w:rFonts w:ascii="宋体" w:hAnsi="宋体"/>
                <w:kern w:val="0"/>
                <w:sz w:val="24"/>
              </w:rPr>
            </w:pPr>
            <w:r>
              <w:rPr>
                <w:rStyle w:val="11"/>
                <w:rFonts w:ascii="宋体" w:hAnsi="宋体" w:cs="宋体"/>
                <w:b/>
                <w:bCs/>
                <w:kern w:val="0"/>
                <w:sz w:val="24"/>
              </w:rPr>
              <w:t>邮政编码</w:t>
            </w:r>
          </w:p>
        </w:tc>
        <w:tc>
          <w:tcPr>
            <w:tcW w:w="1485" w:type="dxa"/>
            <w:vAlign w:val="center"/>
          </w:tcPr>
          <w:p>
            <w:pPr>
              <w:jc w:val="left"/>
              <w:rPr>
                <w:rStyle w:val="11"/>
                <w:rFonts w:ascii="宋体" w:hAnsi="宋体"/>
                <w:kern w:val="0"/>
                <w:sz w:val="24"/>
              </w:rPr>
            </w:pPr>
            <w:r>
              <w:rPr>
                <w:rStyle w:val="11"/>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pStyle w:val="3"/>
              <w:ind w:left="0" w:leftChars="0" w:firstLine="0" w:firstLineChars="0"/>
            </w:pPr>
            <w:r>
              <w:rPr>
                <w:rFonts w:hint="eastAsia"/>
              </w:rPr>
              <w:t>吴晓玲</w:t>
            </w:r>
          </w:p>
        </w:tc>
        <w:tc>
          <w:tcPr>
            <w:tcW w:w="3872" w:type="dxa"/>
            <w:vAlign w:val="center"/>
          </w:tcPr>
          <w:p>
            <w:pPr>
              <w:jc w:val="left"/>
              <w:rPr>
                <w:rStyle w:val="11"/>
                <w:rFonts w:hint="eastAsia" w:ascii="宋体" w:hAnsi="宋体" w:eastAsia="宋体"/>
                <w:kern w:val="0"/>
                <w:sz w:val="24"/>
                <w:lang w:val="en-US" w:eastAsia="zh-CN"/>
              </w:rPr>
            </w:pPr>
            <w:r>
              <w:rPr>
                <w:rStyle w:val="11"/>
                <w:rFonts w:hint="eastAsia" w:ascii="宋体" w:hAnsi="宋体" w:eastAsia="宋体"/>
                <w:kern w:val="0"/>
                <w:sz w:val="24"/>
                <w:lang w:val="en-US" w:eastAsia="zh-CN"/>
              </w:rPr>
              <w:t>麻江县委2号楼209室</w:t>
            </w:r>
          </w:p>
        </w:tc>
        <w:tc>
          <w:tcPr>
            <w:tcW w:w="1440" w:type="dxa"/>
            <w:vAlign w:val="center"/>
          </w:tcPr>
          <w:p>
            <w:pPr>
              <w:jc w:val="left"/>
              <w:rPr>
                <w:rStyle w:val="11"/>
                <w:rFonts w:hint="default" w:ascii="宋体" w:hAnsi="宋体" w:eastAsia="宋体"/>
                <w:kern w:val="0"/>
                <w:sz w:val="24"/>
                <w:lang w:val="en-US" w:eastAsia="zh-CN"/>
              </w:rPr>
            </w:pPr>
            <w:r>
              <w:rPr>
                <w:rStyle w:val="11"/>
                <w:rFonts w:hint="eastAsia" w:ascii="宋体" w:hAnsi="宋体"/>
                <w:kern w:val="0"/>
                <w:sz w:val="24"/>
                <w:lang w:val="en-US" w:eastAsia="zh-CN"/>
              </w:rPr>
              <w:t>557600</w:t>
            </w:r>
          </w:p>
        </w:tc>
        <w:tc>
          <w:tcPr>
            <w:tcW w:w="1485" w:type="dxa"/>
            <w:vAlign w:val="center"/>
          </w:tcPr>
          <w:p>
            <w:pPr>
              <w:jc w:val="left"/>
              <w:rPr>
                <w:rFonts w:hint="default"/>
                <w:lang w:val="en-US" w:eastAsia="zh-CN"/>
              </w:rPr>
            </w:pPr>
            <w:r>
              <w:rPr>
                <w:rFonts w:hint="default"/>
                <w:lang w:val="en-US" w:eastAsia="zh-CN"/>
              </w:rPr>
              <w:t>13765591701</w:t>
            </w:r>
          </w:p>
        </w:tc>
      </w:tr>
      <w:tr>
        <w:tblPrEx>
          <w:tblCellMar>
            <w:top w:w="0" w:type="dxa"/>
            <w:left w:w="15" w:type="dxa"/>
            <w:bottom w:w="0" w:type="dxa"/>
            <w:right w:w="15" w:type="dxa"/>
          </w:tblCellMar>
        </w:tblPrEx>
        <w:tc>
          <w:tcPr>
            <w:tcW w:w="1753" w:type="dxa"/>
            <w:vAlign w:val="center"/>
          </w:tcPr>
          <w:p>
            <w:pPr>
              <w:jc w:val="left"/>
              <w:rPr>
                <w:rStyle w:val="11"/>
                <w:rFonts w:hint="eastAsia" w:ascii="宋体" w:hAnsi="宋体" w:eastAsia="宋体"/>
                <w:kern w:val="0"/>
                <w:sz w:val="24"/>
                <w:lang w:eastAsia="zh-CN"/>
              </w:rPr>
            </w:pPr>
            <w:r>
              <w:rPr>
                <w:rStyle w:val="11"/>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1"/>
                <w:rFonts w:hint="eastAsia" w:ascii="宋体" w:hAnsi="宋体"/>
                <w:kern w:val="0"/>
                <w:sz w:val="24"/>
                <w:lang w:val="en-US" w:eastAsia="zh-CN"/>
              </w:rPr>
            </w:pPr>
            <w:r>
              <w:rPr>
                <w:rStyle w:val="11"/>
                <w:rFonts w:hint="eastAsia" w:ascii="宋体" w:hAnsi="宋体"/>
                <w:kern w:val="0"/>
                <w:sz w:val="24"/>
                <w:lang w:eastAsia="zh-CN"/>
              </w:rPr>
              <w:t>州委办秘书五科：</w:t>
            </w:r>
            <w:r>
              <w:rPr>
                <w:rStyle w:val="11"/>
                <w:rFonts w:hint="eastAsia" w:ascii="宋体" w:hAnsi="宋体"/>
                <w:kern w:val="0"/>
                <w:sz w:val="24"/>
                <w:lang w:val="en-US" w:eastAsia="zh-CN"/>
              </w:rPr>
              <w:t>8270060；</w:t>
            </w:r>
            <w:r>
              <w:rPr>
                <w:rStyle w:val="11"/>
                <w:rFonts w:hint="eastAsia" w:ascii="宋体" w:hAnsi="宋体"/>
                <w:kern w:val="0"/>
                <w:sz w:val="24"/>
                <w:lang w:eastAsia="zh-CN"/>
              </w:rPr>
              <w:t>州政府办建议提案科：</w:t>
            </w:r>
            <w:r>
              <w:rPr>
                <w:rStyle w:val="11"/>
                <w:rFonts w:hint="eastAsia" w:ascii="宋体" w:hAnsi="宋体"/>
                <w:kern w:val="0"/>
                <w:sz w:val="24"/>
                <w:lang w:val="en-US" w:eastAsia="zh-CN"/>
              </w:rPr>
              <w:t>8260016；</w:t>
            </w:r>
          </w:p>
          <w:p>
            <w:pPr>
              <w:jc w:val="left"/>
              <w:rPr>
                <w:rStyle w:val="11"/>
                <w:rFonts w:hint="default" w:ascii="宋体" w:hAnsi="宋体"/>
                <w:kern w:val="0"/>
                <w:sz w:val="24"/>
                <w:lang w:val="en-US"/>
              </w:rPr>
            </w:pPr>
            <w:r>
              <w:rPr>
                <w:rStyle w:val="11"/>
                <w:rFonts w:hint="eastAsia" w:ascii="宋体" w:hAnsi="宋体"/>
                <w:kern w:val="0"/>
                <w:sz w:val="24"/>
                <w:lang w:eastAsia="zh-CN"/>
              </w:rPr>
              <w:t>州政协提案委：</w:t>
            </w:r>
            <w:r>
              <w:rPr>
                <w:rStyle w:val="11"/>
                <w:rFonts w:hint="eastAsia" w:ascii="宋体" w:hAnsi="宋体"/>
                <w:kern w:val="0"/>
                <w:sz w:val="24"/>
                <w:lang w:val="en-US" w:eastAsia="zh-CN"/>
              </w:rPr>
              <w:t>8428866</w:t>
            </w:r>
            <w:r>
              <w:rPr>
                <w:rStyle w:val="11"/>
                <w:rFonts w:hint="eastAsia" w:ascii="宋体" w:hAnsi="宋体"/>
                <w:kern w:val="0"/>
                <w:sz w:val="24"/>
                <w:lang w:eastAsia="zh-CN"/>
              </w:rPr>
              <w:t>。</w:t>
            </w:r>
          </w:p>
        </w:tc>
      </w:tr>
    </w:tbl>
    <w:p>
      <w:pPr>
        <w:jc w:val="left"/>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kinsoku/>
        <w:overflowPunct/>
        <w:autoSpaceDE/>
        <w:autoSpaceDN/>
        <w:bidi w:val="0"/>
        <w:adjustRightInd/>
        <w:snapToGrid/>
        <w:spacing w:beforeAutospacing="0" w:afterAutospacing="0" w:line="560" w:lineRule="exact"/>
        <w:rPr>
          <w:rStyle w:val="11"/>
          <w:rFonts w:hint="eastAsia" w:ascii="仿宋_GB2312" w:hAnsi="宋体" w:eastAsia="仿宋_GB2312"/>
          <w:kern w:val="0"/>
          <w:sz w:val="32"/>
          <w:szCs w:val="32"/>
        </w:rPr>
      </w:pPr>
      <w:r>
        <w:rPr>
          <w:rStyle w:val="11"/>
          <w:rFonts w:hint="eastAsia" w:ascii="仿宋_GB2312" w:hAnsi="宋体" w:eastAsia="仿宋_GB2312"/>
          <w:kern w:val="0"/>
          <w:sz w:val="32"/>
          <w:szCs w:val="32"/>
        </w:rPr>
        <w:t>内容和办法</w:t>
      </w:r>
      <w:r>
        <w:rPr>
          <w:rStyle w:val="11"/>
          <w:rFonts w:hint="eastAsia" w:ascii="仿宋_GB2312" w:hAnsi="宋体" w:eastAsia="仿宋_GB2312"/>
          <w:kern w:val="0"/>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根据贵州省第七次全国人口普查数据，全省60岁及以上老年人口达到593.14万人，比2010年增加147.</w:t>
      </w:r>
      <w:bookmarkStart w:id="0" w:name="_GoBack"/>
      <w:bookmarkEnd w:id="0"/>
      <w:r>
        <w:rPr>
          <w:rFonts w:hint="default" w:ascii="Times New Roman" w:hAnsi="Times New Roman" w:eastAsia="仿宋_GB2312" w:cs="Times New Roman"/>
          <w:color w:val="auto"/>
          <w:kern w:val="2"/>
          <w:sz w:val="32"/>
          <w:szCs w:val="32"/>
          <w:lang w:val="en-US" w:eastAsia="zh-CN" w:bidi="ar-SA"/>
        </w:rPr>
        <w:t>01万人。以黔东南州麻江县为例：按第7次全国人口普查数据，麻江县总人口13.1081万人。60周岁以上老年人口25098人，其中农村老年人23000人，分别占总人口的19.15%和17.5%。按照联合国的标准，一个地区60岁以上老人达到总人口的10%，即视为进入老龄化社会。在人口老龄化不断增速的麻江农村，农村“留守老人”“空巢老人”家庭数量急剧增加，老年人养老正面临着诸多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一、</w:t>
      </w:r>
      <w:r>
        <w:rPr>
          <w:rFonts w:hint="eastAsia" w:ascii="Times New Roman" w:hAnsi="Times New Roman" w:eastAsia="仿宋_GB2312" w:cs="Times New Roman"/>
          <w:b/>
          <w:bCs/>
          <w:color w:val="auto"/>
          <w:kern w:val="2"/>
          <w:sz w:val="32"/>
          <w:szCs w:val="32"/>
          <w:lang w:val="en-US" w:eastAsia="zh-CN" w:bidi="ar-SA"/>
        </w:rPr>
        <w:t>农村养老观念较为传统。</w:t>
      </w:r>
      <w:r>
        <w:rPr>
          <w:rFonts w:hint="default" w:ascii="Times New Roman" w:hAnsi="Times New Roman" w:eastAsia="仿宋_GB2312" w:cs="Times New Roman"/>
          <w:color w:val="auto"/>
          <w:kern w:val="2"/>
          <w:sz w:val="32"/>
          <w:szCs w:val="32"/>
          <w:lang w:val="en-US" w:eastAsia="zh-CN" w:bidi="ar-SA"/>
        </w:rPr>
        <w:t>据走访调研发现，目前农村大多数老年人的养老理念还比较落后，还普遍存在“养儿防老”的观念，老年人或其子女对养老院、福利中心、农村互助幸福院等“社会养老”模式接受度不高。加之受自我养老能力、子女经济状况等因素的影响，老年人特别是农村老年人生活来源不稳定，使养老成为当前经济社会生活中凸显的社会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二、</w:t>
      </w:r>
      <w:r>
        <w:rPr>
          <w:rFonts w:hint="eastAsia" w:ascii="Times New Roman" w:hAnsi="Times New Roman" w:eastAsia="仿宋_GB2312" w:cs="Times New Roman"/>
          <w:b/>
          <w:bCs/>
          <w:color w:val="auto"/>
          <w:kern w:val="2"/>
          <w:sz w:val="32"/>
          <w:szCs w:val="32"/>
          <w:lang w:val="en-US" w:eastAsia="zh-CN" w:bidi="ar-SA"/>
        </w:rPr>
        <w:t>政府养老支持力度不够。</w:t>
      </w:r>
      <w:r>
        <w:rPr>
          <w:rFonts w:hint="default" w:ascii="Times New Roman" w:hAnsi="Times New Roman" w:eastAsia="仿宋_GB2312" w:cs="Times New Roman"/>
          <w:color w:val="auto"/>
          <w:kern w:val="2"/>
          <w:sz w:val="32"/>
          <w:szCs w:val="32"/>
          <w:lang w:val="en-US" w:eastAsia="zh-CN" w:bidi="ar-SA"/>
        </w:rPr>
        <w:t>政府在农村养老服务体系建设中主要为农村“特困供养”等特定群体提供财政支持，承担最低限度的养老服务责任。</w:t>
      </w:r>
      <w:r>
        <w:rPr>
          <w:rFonts w:hint="eastAsia" w:ascii="Times New Roman" w:hAnsi="Times New Roman" w:eastAsia="仿宋_GB2312" w:cs="Times New Roman"/>
          <w:color w:val="auto"/>
          <w:kern w:val="2"/>
          <w:sz w:val="32"/>
          <w:szCs w:val="32"/>
          <w:lang w:val="en-US" w:eastAsia="zh-CN" w:bidi="ar-SA"/>
        </w:rPr>
        <w:t>目前，由于</w:t>
      </w:r>
      <w:r>
        <w:rPr>
          <w:rFonts w:hint="default" w:ascii="Times New Roman" w:hAnsi="Times New Roman" w:eastAsia="仿宋_GB2312" w:cs="Times New Roman"/>
          <w:color w:val="auto"/>
          <w:kern w:val="2"/>
          <w:sz w:val="32"/>
          <w:szCs w:val="32"/>
          <w:lang w:val="en-US" w:eastAsia="zh-CN" w:bidi="ar-SA"/>
        </w:rPr>
        <w:t>农村敬老院养老服务水平和从业人员素质参差不齐，</w:t>
      </w:r>
      <w:r>
        <w:rPr>
          <w:rFonts w:hint="eastAsia" w:ascii="Times New Roman" w:hAnsi="Times New Roman" w:eastAsia="仿宋_GB2312" w:cs="Times New Roman"/>
          <w:color w:val="auto"/>
          <w:kern w:val="2"/>
          <w:sz w:val="32"/>
          <w:szCs w:val="32"/>
          <w:lang w:val="en-US" w:eastAsia="zh-CN" w:bidi="ar-SA"/>
        </w:rPr>
        <w:t>致使</w:t>
      </w:r>
      <w:r>
        <w:rPr>
          <w:rFonts w:hint="default" w:ascii="Times New Roman" w:hAnsi="Times New Roman" w:eastAsia="仿宋_GB2312" w:cs="Times New Roman"/>
          <w:color w:val="auto"/>
          <w:kern w:val="2"/>
          <w:sz w:val="32"/>
          <w:szCs w:val="32"/>
          <w:lang w:val="en-US" w:eastAsia="zh-CN" w:bidi="ar-SA"/>
        </w:rPr>
        <w:t>农村养老服务发展较为缓慢。</w:t>
      </w:r>
      <w:r>
        <w:rPr>
          <w:rFonts w:hint="eastAsia" w:ascii="Times New Roman" w:hAnsi="Times New Roman" w:eastAsia="仿宋_GB2312" w:cs="Times New Roman"/>
          <w:color w:val="auto"/>
          <w:kern w:val="2"/>
          <w:sz w:val="32"/>
          <w:szCs w:val="32"/>
          <w:lang w:val="en-US" w:eastAsia="zh-CN" w:bidi="ar-SA"/>
        </w:rPr>
        <w:t>在</w:t>
      </w:r>
      <w:r>
        <w:rPr>
          <w:rFonts w:hint="default" w:ascii="Times New Roman" w:hAnsi="Times New Roman" w:eastAsia="仿宋_GB2312" w:cs="Times New Roman"/>
          <w:color w:val="auto"/>
          <w:kern w:val="2"/>
          <w:sz w:val="32"/>
          <w:szCs w:val="32"/>
          <w:lang w:val="en-US" w:eastAsia="zh-CN" w:bidi="ar-SA"/>
        </w:rPr>
        <w:t>农村幸福院虽然有设施设备，但大部分由于管理粗放没有发挥应有作用。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三、</w:t>
      </w:r>
      <w:r>
        <w:rPr>
          <w:rFonts w:hint="eastAsia" w:ascii="Times New Roman" w:hAnsi="Times New Roman" w:eastAsia="仿宋_GB2312" w:cs="Times New Roman"/>
          <w:b/>
          <w:bCs/>
          <w:color w:val="auto"/>
          <w:kern w:val="2"/>
          <w:sz w:val="32"/>
          <w:szCs w:val="32"/>
          <w:lang w:val="en-US" w:eastAsia="zh-CN" w:bidi="ar-SA"/>
        </w:rPr>
        <w:t>农村养老服务供给不足。</w:t>
      </w:r>
      <w:r>
        <w:rPr>
          <w:rFonts w:hint="default" w:ascii="Times New Roman" w:hAnsi="Times New Roman" w:eastAsia="仿宋_GB2312" w:cs="Times New Roman"/>
          <w:color w:val="auto"/>
          <w:kern w:val="2"/>
          <w:sz w:val="32"/>
          <w:szCs w:val="32"/>
          <w:lang w:val="en-US" w:eastAsia="zh-CN" w:bidi="ar-SA"/>
        </w:rPr>
        <w:t>由于农村养老服务具有准公共产品的行业特征，在经营过程中，不以盈利为第一目的，且前期投入成本较大，使得民间资本进入农村养老产业的内生动力不足，导致农村养老服务的供给不足。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建议</w:t>
      </w:r>
      <w:r>
        <w:rPr>
          <w:rFonts w:hint="eastAsia" w:eastAsia="仿宋_GB2312" w:cs="Times New Roman"/>
          <w:color w:val="auto"/>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一、</w:t>
      </w:r>
      <w:r>
        <w:rPr>
          <w:rFonts w:hint="eastAsia" w:ascii="Times New Roman" w:hAnsi="Times New Roman" w:eastAsia="仿宋_GB2312" w:cs="Times New Roman"/>
          <w:b/>
          <w:bCs/>
          <w:color w:val="auto"/>
          <w:kern w:val="2"/>
          <w:sz w:val="32"/>
          <w:szCs w:val="32"/>
          <w:lang w:val="en-US" w:eastAsia="zh-CN" w:bidi="ar-SA"/>
        </w:rPr>
        <w:t>做好养老服务规划编制。</w:t>
      </w:r>
      <w:r>
        <w:rPr>
          <w:rFonts w:hint="default" w:ascii="Times New Roman" w:hAnsi="Times New Roman" w:eastAsia="仿宋_GB2312" w:cs="Times New Roman"/>
          <w:color w:val="auto"/>
          <w:kern w:val="2"/>
          <w:sz w:val="32"/>
          <w:szCs w:val="32"/>
          <w:lang w:val="en-US" w:eastAsia="zh-CN" w:bidi="ar-SA"/>
        </w:rPr>
        <w:t>加快制定具有普惠性的居家和社区养老服务发展中长期规划，进一步明确应对人口老龄化的目标、步骤、重点</w:t>
      </w:r>
      <w:r>
        <w:rPr>
          <w:rFonts w:hint="eastAsia" w:ascii="Times New Roman" w:hAnsi="Times New Roman" w:eastAsia="仿宋_GB2312" w:cs="Times New Roman"/>
          <w:color w:val="auto"/>
          <w:kern w:val="2"/>
          <w:sz w:val="32"/>
          <w:szCs w:val="32"/>
          <w:lang w:val="en-US" w:eastAsia="zh-CN" w:bidi="ar-SA"/>
        </w:rPr>
        <w:t>和</w:t>
      </w:r>
      <w:r>
        <w:rPr>
          <w:rFonts w:hint="default" w:ascii="Times New Roman" w:hAnsi="Times New Roman" w:eastAsia="仿宋_GB2312" w:cs="Times New Roman"/>
          <w:color w:val="auto"/>
          <w:kern w:val="2"/>
          <w:sz w:val="32"/>
          <w:szCs w:val="32"/>
          <w:lang w:val="en-US" w:eastAsia="zh-CN" w:bidi="ar-SA"/>
        </w:rPr>
        <w:t>措施。按照政府主导、社区主办、社会经营主体积极参与的模式，加快推进居家和社区养老服务社会化、市场化改革，加快推进适度普惠、就近便捷、服务精准、多元供给、充满活力的居家和社区养老服务格局，有效满足老年人多样化、多层次养老服务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二、</w:t>
      </w:r>
      <w:r>
        <w:rPr>
          <w:rFonts w:hint="eastAsia" w:ascii="Times New Roman" w:hAnsi="Times New Roman" w:eastAsia="仿宋_GB2312" w:cs="Times New Roman"/>
          <w:b/>
          <w:bCs/>
          <w:color w:val="auto"/>
          <w:kern w:val="2"/>
          <w:sz w:val="32"/>
          <w:szCs w:val="32"/>
          <w:lang w:val="en-US" w:eastAsia="zh-CN" w:bidi="ar-SA"/>
        </w:rPr>
        <w:t>完善农村养老服务模式。</w:t>
      </w:r>
      <w:r>
        <w:rPr>
          <w:rFonts w:hint="default" w:ascii="Times New Roman" w:hAnsi="Times New Roman" w:eastAsia="仿宋_GB2312" w:cs="Times New Roman"/>
          <w:color w:val="auto"/>
          <w:kern w:val="2"/>
          <w:sz w:val="32"/>
          <w:szCs w:val="32"/>
          <w:lang w:val="en-US" w:eastAsia="zh-CN" w:bidi="ar-SA"/>
        </w:rPr>
        <w:t>一是采取“集中居住</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分户生活</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统一管理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互帮互助”的方式，充分发挥农村老年协会的作用，通过政府购买服务等形式，为农村</w:t>
      </w:r>
      <w:r>
        <w:rPr>
          <w:rFonts w:hint="eastAsia" w:ascii="Times New Roman" w:hAnsi="Times New Roman" w:eastAsia="仿宋_GB2312" w:cs="Times New Roman"/>
          <w:color w:val="auto"/>
          <w:kern w:val="2"/>
          <w:sz w:val="32"/>
          <w:szCs w:val="32"/>
          <w:lang w:val="en-US" w:eastAsia="zh-CN" w:bidi="ar-SA"/>
        </w:rPr>
        <w:t>留守老人、空巢老人</w:t>
      </w:r>
      <w:r>
        <w:rPr>
          <w:rFonts w:hint="default" w:ascii="Times New Roman" w:hAnsi="Times New Roman" w:eastAsia="仿宋_GB2312" w:cs="Times New Roman"/>
          <w:color w:val="auto"/>
          <w:kern w:val="2"/>
          <w:sz w:val="32"/>
          <w:szCs w:val="32"/>
          <w:lang w:val="en-US" w:eastAsia="zh-CN" w:bidi="ar-SA"/>
        </w:rPr>
        <w:t>、困难老人等群体统一提供养老服务。探索推进“幼儿园式”托老所养老，实行早送晚接，为老年人提供更优质、便捷、实用的养老服务。二是加强农村文</w:t>
      </w:r>
      <w:r>
        <w:rPr>
          <w:rFonts w:hint="eastAsia" w:ascii="Times New Roman" w:hAnsi="Times New Roman" w:eastAsia="仿宋_GB2312" w:cs="Times New Roman"/>
          <w:color w:val="auto"/>
          <w:kern w:val="2"/>
          <w:sz w:val="32"/>
          <w:szCs w:val="32"/>
          <w:lang w:val="en-US" w:eastAsia="zh-CN" w:bidi="ar-SA"/>
        </w:rPr>
        <w:t>化、</w:t>
      </w:r>
      <w:r>
        <w:rPr>
          <w:rFonts w:hint="default" w:ascii="Times New Roman" w:hAnsi="Times New Roman" w:eastAsia="仿宋_GB2312" w:cs="Times New Roman"/>
          <w:color w:val="auto"/>
          <w:kern w:val="2"/>
          <w:sz w:val="32"/>
          <w:szCs w:val="32"/>
          <w:lang w:val="en-US" w:eastAsia="zh-CN" w:bidi="ar-SA"/>
        </w:rPr>
        <w:t>健身</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娱乐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医疗等设施建设管理维护和有效利用，有序推进城乡敬老院、养老院等养老机构开展延伸服务，建立落实好农村空巢老年人定期巡访制度，支持农村集体经济组织面向周围城镇发展特色养老服务，大力发展乡村养老、城乡互助养老等新型养老模式。三是加快社会组织培育和乡镇社工站建设，将社工项目纳入政府购买目录，经费纳入财政预算，由社工站和村委会统一管理使用农村幸福院，定期开展老年人相关</w:t>
      </w:r>
      <w:r>
        <w:rPr>
          <w:rFonts w:hint="eastAsia" w:ascii="Times New Roman" w:hAnsi="Times New Roman" w:eastAsia="仿宋_GB2312" w:cs="Times New Roman"/>
          <w:color w:val="auto"/>
          <w:kern w:val="2"/>
          <w:sz w:val="32"/>
          <w:szCs w:val="32"/>
          <w:lang w:val="en-US" w:eastAsia="zh-CN" w:bidi="ar-SA"/>
        </w:rPr>
        <w:t>关爱</w:t>
      </w:r>
      <w:r>
        <w:rPr>
          <w:rFonts w:hint="default" w:ascii="Times New Roman" w:hAnsi="Times New Roman" w:eastAsia="仿宋_GB2312" w:cs="Times New Roman"/>
          <w:color w:val="auto"/>
          <w:kern w:val="2"/>
          <w:sz w:val="32"/>
          <w:szCs w:val="32"/>
          <w:lang w:val="en-US" w:eastAsia="zh-CN" w:bidi="ar-SA"/>
        </w:rPr>
        <w:t>服务和活动，</w:t>
      </w:r>
      <w:r>
        <w:rPr>
          <w:rFonts w:hint="eastAsia" w:ascii="Times New Roman" w:hAnsi="Times New Roman" w:eastAsia="仿宋_GB2312" w:cs="Times New Roman"/>
          <w:color w:val="auto"/>
          <w:kern w:val="2"/>
          <w:sz w:val="32"/>
          <w:szCs w:val="32"/>
          <w:lang w:val="en-US" w:eastAsia="zh-CN" w:bidi="ar-SA"/>
        </w:rPr>
        <w:t>积极</w:t>
      </w:r>
      <w:r>
        <w:rPr>
          <w:rFonts w:hint="default" w:ascii="Times New Roman" w:hAnsi="Times New Roman" w:eastAsia="仿宋_GB2312" w:cs="Times New Roman"/>
          <w:color w:val="auto"/>
          <w:kern w:val="2"/>
          <w:sz w:val="32"/>
          <w:szCs w:val="32"/>
          <w:lang w:val="en-US" w:eastAsia="zh-CN" w:bidi="ar-SA"/>
        </w:rPr>
        <w:t>发挥农村幸福院作用。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加大政策资金支持力度。</w:t>
      </w:r>
      <w:r>
        <w:rPr>
          <w:rFonts w:hint="default" w:ascii="Times New Roman" w:hAnsi="Times New Roman" w:eastAsia="仿宋_GB2312" w:cs="Times New Roman"/>
          <w:color w:val="auto"/>
          <w:kern w:val="2"/>
          <w:sz w:val="32"/>
          <w:szCs w:val="32"/>
          <w:lang w:val="en-US" w:eastAsia="zh-CN" w:bidi="ar-SA"/>
        </w:rPr>
        <w:t>一是积极推行公建民营、民办公助、股权合作等方式，引进养老机构和社会组织参与运营管理，引进社会资本建立民办养老机构，出台进一步完善扶持社会力量兴办养老服务机构和提供养老服务的政策措施。二是不断加大基本养老保险、商业保险、社会救助等社会保障力度，提高保障标准，拓展保障覆盖面，着力解决“养”和“医”的问题</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按照年龄段探索制定不同阶段的养老补助政策，让农村老年人享受经济</w:t>
      </w:r>
      <w:r>
        <w:rPr>
          <w:rFonts w:hint="eastAsia" w:ascii="Times New Roman" w:hAnsi="Times New Roman" w:eastAsia="仿宋_GB2312" w:cs="Times New Roman"/>
          <w:color w:val="auto"/>
          <w:kern w:val="2"/>
          <w:sz w:val="32"/>
          <w:szCs w:val="32"/>
          <w:lang w:val="en-US" w:eastAsia="zh-CN" w:bidi="ar-SA"/>
        </w:rPr>
        <w:t>社会</w:t>
      </w:r>
      <w:r>
        <w:rPr>
          <w:rFonts w:hint="default" w:ascii="Times New Roman" w:hAnsi="Times New Roman" w:eastAsia="仿宋_GB2312" w:cs="Times New Roman"/>
          <w:color w:val="auto"/>
          <w:kern w:val="2"/>
          <w:sz w:val="32"/>
          <w:szCs w:val="32"/>
          <w:lang w:val="en-US" w:eastAsia="zh-CN" w:bidi="ar-SA"/>
        </w:rPr>
        <w:t>发展成果。三是财政加大对基层老龄事业经费的投入，对符合低保条件的农村老年人及时纳入低保范围，实现应保尽保、应保必保。落实农村老年人医疗保障，各级医院、卫生院要为老年人开辟绿色通道，适当提高农村老年人的就医报销比例，切实解决农村贫困老年人和重病老年人的生活保障。</w:t>
      </w:r>
    </w:p>
    <w:p>
      <w:pPr>
        <w:pStyle w:val="2"/>
        <w:keepNext w:val="0"/>
        <w:keepLines w:val="0"/>
        <w:pageBreakBefore w:val="0"/>
        <w:widowControl w:val="0"/>
        <w:numPr>
          <w:ilvl w:val="0"/>
          <w:numId w:val="0"/>
        </w:numPr>
        <w:kinsoku/>
        <w:wordWrap w:val="0"/>
        <w:overflowPunct/>
        <w:topLinePunct/>
        <w:autoSpaceDE/>
        <w:autoSpaceDN/>
        <w:bidi w:val="0"/>
        <w:adjustRightInd/>
        <w:snapToGrid/>
        <w:spacing w:beforeAutospacing="0" w:after="0" w:afterAutospacing="0" w:line="560" w:lineRule="exact"/>
        <w:jc w:val="both"/>
        <w:textAlignment w:val="auto"/>
        <w:rPr>
          <w:rFonts w:hint="default" w:ascii="Times New Roman" w:hAnsi="Times New Roman" w:eastAsia="仿宋_GB2312" w:cs="Times New Roman"/>
          <w:b w:val="0"/>
          <w:bCs/>
          <w:color w:val="auto"/>
          <w:kern w:val="0"/>
          <w:sz w:val="32"/>
          <w:szCs w:val="32"/>
          <w:lang w:val="en-US" w:eastAsia="zh-CN"/>
        </w:rPr>
      </w:pPr>
    </w:p>
    <w:p>
      <w:pPr>
        <w:keepNext w:val="0"/>
        <w:keepLines w:val="0"/>
        <w:pageBreakBefore w:val="0"/>
        <w:kinsoku/>
        <w:overflowPunct/>
        <w:autoSpaceDE/>
        <w:autoSpaceDN/>
        <w:bidi w:val="0"/>
        <w:adjustRightInd/>
        <w:snapToGrid/>
        <w:spacing w:beforeAutospacing="0" w:afterAutospacing="0" w:line="560" w:lineRule="exact"/>
        <w:ind w:firstLine="643" w:firstLineChars="200"/>
        <w:rPr>
          <w:rStyle w:val="11"/>
          <w:rFonts w:hint="eastAsia" w:ascii="仿宋" w:hAnsi="仿宋" w:eastAsia="仿宋" w:cs="仿宋"/>
          <w:kern w:val="0"/>
          <w:sz w:val="32"/>
          <w:szCs w:val="32"/>
          <w:lang w:val="en-US" w:eastAsia="zh-CN"/>
        </w:rPr>
      </w:pPr>
      <w:r>
        <w:rPr>
          <w:rStyle w:val="11"/>
          <w:rFonts w:hint="eastAsia" w:ascii="黑体" w:hAnsi="黑体" w:eastAsia="黑体" w:cs="黑体"/>
          <w:b/>
          <w:bCs/>
          <w:kern w:val="0"/>
          <w:sz w:val="32"/>
          <w:szCs w:val="32"/>
          <w:lang w:val="en-US" w:eastAsia="zh-CN"/>
        </w:rPr>
        <w:t>注：</w:t>
      </w:r>
      <w:r>
        <w:rPr>
          <w:rStyle w:val="11"/>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keepNext w:val="0"/>
        <w:keepLines w:val="0"/>
        <w:pageBreakBefore w:val="0"/>
        <w:kinsoku/>
        <w:overflowPunct/>
        <w:autoSpaceDE/>
        <w:autoSpaceDN/>
        <w:bidi w:val="0"/>
        <w:adjustRightInd/>
        <w:snapToGrid/>
        <w:spacing w:beforeAutospacing="0" w:afterAutospacing="0" w:line="560" w:lineRule="exact"/>
        <w:ind w:firstLine="1280" w:firstLineChars="400"/>
        <w:rPr>
          <w:rStyle w:val="11"/>
          <w:rFonts w:hint="default" w:ascii="仿宋" w:hAnsi="仿宋" w:eastAsia="仿宋" w:cs="仿宋"/>
          <w:kern w:val="0"/>
          <w:sz w:val="32"/>
          <w:szCs w:val="32"/>
          <w:lang w:val="en-US" w:eastAsia="zh-CN"/>
        </w:rPr>
      </w:pPr>
      <w:r>
        <w:rPr>
          <w:rStyle w:val="11"/>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B66956"/>
    <w:rsid w:val="10B40BCC"/>
    <w:rsid w:val="118823F2"/>
    <w:rsid w:val="16F969DB"/>
    <w:rsid w:val="18EC1E64"/>
    <w:rsid w:val="1B913D76"/>
    <w:rsid w:val="1BAB45FA"/>
    <w:rsid w:val="20E366FE"/>
    <w:rsid w:val="21EA0B57"/>
    <w:rsid w:val="23370767"/>
    <w:rsid w:val="29EB237C"/>
    <w:rsid w:val="2BDD0731"/>
    <w:rsid w:val="2FD84B80"/>
    <w:rsid w:val="30B878C9"/>
    <w:rsid w:val="32794BB9"/>
    <w:rsid w:val="33552650"/>
    <w:rsid w:val="35A1653F"/>
    <w:rsid w:val="377737A4"/>
    <w:rsid w:val="38D60616"/>
    <w:rsid w:val="3A7B4D73"/>
    <w:rsid w:val="3F1A5C90"/>
    <w:rsid w:val="42F10C9F"/>
    <w:rsid w:val="45013782"/>
    <w:rsid w:val="493508EE"/>
    <w:rsid w:val="497C7186"/>
    <w:rsid w:val="4A196944"/>
    <w:rsid w:val="4F1E6C2C"/>
    <w:rsid w:val="4F6B5D70"/>
    <w:rsid w:val="507F065A"/>
    <w:rsid w:val="5236789E"/>
    <w:rsid w:val="559F1A55"/>
    <w:rsid w:val="5A7C34BF"/>
    <w:rsid w:val="5AA17385"/>
    <w:rsid w:val="5B7C24C8"/>
    <w:rsid w:val="61895CCF"/>
    <w:rsid w:val="66F35DD9"/>
    <w:rsid w:val="6854075C"/>
    <w:rsid w:val="69A37ABB"/>
    <w:rsid w:val="6A644AE2"/>
    <w:rsid w:val="72DF1356"/>
    <w:rsid w:val="74620891"/>
    <w:rsid w:val="778C0E73"/>
    <w:rsid w:val="78C5731D"/>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table of authorities"/>
    <w:basedOn w:val="1"/>
    <w:next w:val="1"/>
    <w:qFormat/>
    <w:uiPriority w:val="0"/>
    <w:pPr>
      <w:ind w:left="420" w:leftChars="200"/>
    </w:pPr>
    <w:rPr>
      <w:szCs w:val="20"/>
    </w:rPr>
  </w:style>
  <w:style w:type="paragraph" w:styleId="4">
    <w:name w:val="footer"/>
    <w:basedOn w:val="1"/>
    <w:link w:val="22"/>
    <w:qFormat/>
    <w:uiPriority w:val="99"/>
    <w:pPr>
      <w:snapToGrid w:val="0"/>
      <w:jc w:val="left"/>
    </w:pPr>
    <w:rPr>
      <w:sz w:val="18"/>
      <w:szCs w:val="18"/>
    </w:rPr>
  </w:style>
  <w:style w:type="paragraph" w:styleId="5">
    <w:name w:val="header"/>
    <w:basedOn w:val="1"/>
    <w:qFormat/>
    <w:uiPriority w:val="0"/>
    <w:pPr>
      <w:pBdr>
        <w:bottom w:val="single" w:color="000000" w:sz="6" w:space="0"/>
      </w:pBdr>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qFormat/>
    <w:uiPriority w:val="0"/>
    <w:rPr>
      <w:rFonts w:cs="Times New Roman"/>
      <w:b/>
      <w:bCs/>
    </w:rPr>
  </w:style>
  <w:style w:type="character" w:styleId="10">
    <w:name w:val="Hyperlink"/>
    <w:basedOn w:val="11"/>
    <w:semiHidden/>
    <w:qFormat/>
    <w:uiPriority w:val="0"/>
    <w:rPr>
      <w:color w:val="0000FF"/>
      <w:u w:val="single"/>
    </w:rPr>
  </w:style>
  <w:style w:type="character" w:customStyle="1" w:styleId="11">
    <w:name w:val="NormalCharacter"/>
    <w:semiHidden/>
    <w:qFormat/>
    <w:uiPriority w:val="0"/>
  </w:style>
  <w:style w:type="paragraph" w:customStyle="1" w:styleId="12">
    <w:name w:val="正文-公1"/>
    <w:basedOn w:val="1"/>
    <w:qFormat/>
    <w:uiPriority w:val="99"/>
    <w:pPr>
      <w:ind w:firstLine="200" w:firstLineChars="200"/>
    </w:pPr>
    <w:rPr>
      <w:rFonts w:ascii="Calibri" w:hAnsi="Calibri"/>
    </w:rPr>
  </w:style>
  <w:style w:type="paragraph" w:customStyle="1" w:styleId="13">
    <w:name w:val="Heading1"/>
    <w:basedOn w:val="1"/>
    <w:link w:val="19"/>
    <w:qFormat/>
    <w:uiPriority w:val="0"/>
    <w:pPr>
      <w:spacing w:before="100" w:beforeAutospacing="1" w:after="100" w:afterAutospacing="1"/>
      <w:jc w:val="left"/>
    </w:pPr>
    <w:rPr>
      <w:rFonts w:ascii="宋体" w:hAnsi="宋体" w:cs="宋体"/>
      <w:b/>
      <w:bCs/>
      <w:kern w:val="36"/>
      <w:sz w:val="48"/>
      <w:szCs w:val="48"/>
    </w:rPr>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Acetate"/>
    <w:basedOn w:val="1"/>
    <w:qFormat/>
    <w:uiPriority w:val="0"/>
    <w:rPr>
      <w:sz w:val="18"/>
      <w:szCs w:val="18"/>
    </w:rPr>
  </w:style>
  <w:style w:type="paragraph" w:customStyle="1" w:styleId="16">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7">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8">
    <w:name w:val="UserStyle_2"/>
    <w:basedOn w:val="1"/>
    <w:qFormat/>
    <w:uiPriority w:val="0"/>
    <w:pPr>
      <w:spacing w:before="100" w:beforeAutospacing="1" w:after="100" w:afterAutospacing="1"/>
      <w:jc w:val="left"/>
    </w:pPr>
    <w:rPr>
      <w:rFonts w:ascii="宋体" w:hAnsi="宋体"/>
      <w:kern w:val="0"/>
      <w:sz w:val="24"/>
    </w:rPr>
  </w:style>
  <w:style w:type="character" w:customStyle="1" w:styleId="19">
    <w:name w:val="UserStyle_3"/>
    <w:basedOn w:val="11"/>
    <w:link w:val="13"/>
    <w:qFormat/>
    <w:uiPriority w:val="0"/>
    <w:rPr>
      <w:rFonts w:ascii="宋体" w:hAnsi="宋体" w:cs="宋体"/>
      <w:b/>
      <w:bCs/>
      <w:kern w:val="36"/>
      <w:sz w:val="48"/>
      <w:szCs w:val="48"/>
    </w:rPr>
  </w:style>
  <w:style w:type="character" w:customStyle="1" w:styleId="20">
    <w:name w:val="UserStyle_4"/>
    <w:basedOn w:val="11"/>
    <w:qFormat/>
    <w:uiPriority w:val="0"/>
  </w:style>
  <w:style w:type="paragraph" w:customStyle="1" w:styleId="21">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2">
    <w:name w:val="页脚 Char"/>
    <w:basedOn w:val="8"/>
    <w:link w:val="4"/>
    <w:qFormat/>
    <w:uiPriority w:val="99"/>
    <w:rPr>
      <w:rFonts w:cstheme="minorBidi"/>
      <w:kern w:val="2"/>
      <w:sz w:val="18"/>
      <w:szCs w:val="18"/>
    </w:rPr>
  </w:style>
  <w:style w:type="paragraph" w:customStyle="1" w:styleId="23">
    <w:name w:val="Body text|2"/>
    <w:basedOn w:val="1"/>
    <w:qFormat/>
    <w:uiPriority w:val="0"/>
    <w:pPr>
      <w:spacing w:after="300"/>
      <w:ind w:firstLine="74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2</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يانغ يي</cp:lastModifiedBy>
  <cp:lastPrinted>2021-02-26T02:55:00Z</cp:lastPrinted>
  <dcterms:modified xsi:type="dcterms:W3CDTF">2022-01-05T07:33:41Z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EE55FF7EA3A2476E9CAB5CF8A9E3A662</vt:lpwstr>
  </property>
</Properties>
</file>