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before="0" w:beforeAutospacing="0" w:after="0" w:afterAutospacing="0" w:line="600" w:lineRule="exact"/>
        <w:jc w:val="center"/>
        <w:rPr>
          <w:rStyle w:val="11"/>
          <w:rFonts w:ascii="黑体" w:eastAsia="黑体"/>
          <w:sz w:val="44"/>
          <w:szCs w:val="44"/>
        </w:rPr>
      </w:pPr>
      <w:r>
        <w:rPr>
          <w:rStyle w:val="9"/>
          <w:rFonts w:ascii="黑体" w:eastAsia="黑体" w:cs="宋体"/>
          <w:sz w:val="44"/>
          <w:szCs w:val="44"/>
        </w:rPr>
        <w:t>中国人民政治协商会议</w:t>
      </w:r>
    </w:p>
    <w:p>
      <w:pPr>
        <w:pStyle w:val="16"/>
        <w:spacing w:before="0" w:beforeAutospacing="0" w:after="0" w:afterAutospacing="0" w:line="600" w:lineRule="exact"/>
        <w:jc w:val="center"/>
        <w:rPr>
          <w:rStyle w:val="11"/>
          <w:rFonts w:hint="eastAsia"/>
          <w:sz w:val="44"/>
          <w:szCs w:val="44"/>
        </w:rPr>
      </w:pPr>
      <w:r>
        <w:rPr>
          <w:rStyle w:val="11"/>
          <w:sz w:val="44"/>
          <w:szCs w:val="44"/>
        </w:rPr>
        <w:t>黔东南苗族侗族自治州委员会</w:t>
      </w:r>
    </w:p>
    <w:p>
      <w:pPr>
        <w:pStyle w:val="16"/>
        <w:spacing w:before="0" w:beforeAutospacing="0" w:after="0" w:afterAutospacing="0" w:line="600" w:lineRule="exact"/>
        <w:jc w:val="center"/>
        <w:rPr>
          <w:rStyle w:val="11"/>
          <w:rFonts w:hint="eastAsia"/>
          <w:sz w:val="44"/>
          <w:szCs w:val="44"/>
        </w:rPr>
      </w:pPr>
      <w:r>
        <w:rPr>
          <w:rStyle w:val="11"/>
          <w:sz w:val="44"/>
          <w:szCs w:val="44"/>
        </w:rPr>
        <w:t>提</w:t>
      </w:r>
      <w:r>
        <w:rPr>
          <w:rStyle w:val="11"/>
          <w:rFonts w:hint="eastAsia"/>
          <w:sz w:val="44"/>
          <w:szCs w:val="44"/>
        </w:rPr>
        <w:t xml:space="preserve">   </w:t>
      </w:r>
      <w:r>
        <w:rPr>
          <w:rStyle w:val="11"/>
          <w:sz w:val="44"/>
          <w:szCs w:val="44"/>
        </w:rPr>
        <w:t>案</w:t>
      </w:r>
    </w:p>
    <w:p>
      <w:pPr>
        <w:spacing w:line="320" w:lineRule="exact"/>
        <w:jc w:val="center"/>
        <w:textAlignment w:val="top"/>
        <w:rPr>
          <w:rStyle w:val="11"/>
          <w:rFonts w:hint="eastAsia" w:ascii="宋体" w:hAnsi="宋体"/>
          <w:kern w:val="0"/>
          <w:sz w:val="24"/>
        </w:rPr>
      </w:pPr>
    </w:p>
    <w:p>
      <w:pPr>
        <w:spacing w:line="320" w:lineRule="exact"/>
        <w:jc w:val="center"/>
        <w:textAlignment w:val="top"/>
        <w:rPr>
          <w:rStyle w:val="11"/>
          <w:rFonts w:hint="eastAsia" w:ascii="宋体" w:hAnsi="宋体"/>
          <w:kern w:val="0"/>
          <w:sz w:val="24"/>
        </w:rPr>
      </w:pPr>
    </w:p>
    <w:p>
      <w:pPr>
        <w:spacing w:line="760" w:lineRule="exact"/>
        <w:jc w:val="both"/>
        <w:textAlignment w:val="top"/>
        <w:rPr>
          <w:rStyle w:val="11"/>
          <w:rFonts w:ascii="宋体" w:hAnsi="宋体"/>
          <w:kern w:val="0"/>
          <w:sz w:val="24"/>
        </w:rPr>
      </w:pPr>
      <w:r>
        <w:rPr>
          <w:rStyle w:val="11"/>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1"/>
          <w:rFonts w:hint="default" w:ascii="宋体" w:hAnsi="宋体" w:eastAsia="宋体"/>
          <w:kern w:val="0"/>
          <w:sz w:val="24"/>
          <w:lang w:val="en-US" w:eastAsia="zh-CN"/>
        </w:rPr>
      </w:pPr>
      <w:r>
        <w:rPr>
          <w:rStyle w:val="11"/>
          <w:rFonts w:ascii="宋体" w:hAnsi="宋体"/>
          <w:kern w:val="0"/>
          <w:sz w:val="24"/>
        </w:rPr>
        <w:t>第十</w:t>
      </w:r>
      <w:r>
        <w:rPr>
          <w:rStyle w:val="11"/>
          <w:rFonts w:hint="eastAsia" w:ascii="宋体" w:hAnsi="宋体"/>
          <w:kern w:val="0"/>
          <w:sz w:val="24"/>
          <w:lang w:val="en-US" w:eastAsia="zh-CN"/>
        </w:rPr>
        <w:t>三</w:t>
      </w:r>
      <w:r>
        <w:rPr>
          <w:rStyle w:val="11"/>
          <w:rFonts w:ascii="宋体" w:hAnsi="宋体"/>
          <w:kern w:val="0"/>
          <w:sz w:val="24"/>
        </w:rPr>
        <w:t>届第</w:t>
      </w:r>
      <w:r>
        <w:rPr>
          <w:rStyle w:val="11"/>
          <w:rFonts w:hint="eastAsia" w:ascii="宋体" w:hAnsi="宋体"/>
          <w:kern w:val="0"/>
          <w:sz w:val="24"/>
          <w:lang w:val="en-US" w:eastAsia="zh-CN"/>
        </w:rPr>
        <w:t>一</w:t>
      </w:r>
      <w:r>
        <w:rPr>
          <w:rStyle w:val="11"/>
          <w:rFonts w:ascii="宋体" w:hAnsi="宋体"/>
          <w:kern w:val="0"/>
          <w:sz w:val="24"/>
        </w:rPr>
        <w:t>次会议　       　第</w:t>
      </w:r>
      <w:r>
        <w:rPr>
          <w:rStyle w:val="11"/>
          <w:rFonts w:hint="eastAsia" w:ascii="宋体" w:hAnsi="宋体"/>
          <w:kern w:val="0"/>
          <w:sz w:val="24"/>
          <w:lang w:val="en-US" w:eastAsia="zh-CN"/>
        </w:rPr>
        <w:t>155</w:t>
      </w:r>
      <w:r>
        <w:rPr>
          <w:rStyle w:val="11"/>
          <w:rFonts w:ascii="宋体" w:hAnsi="宋体"/>
          <w:kern w:val="0"/>
          <w:sz w:val="24"/>
        </w:rPr>
        <w:t xml:space="preserve">号　    </w:t>
      </w:r>
      <w:r>
        <w:rPr>
          <w:rStyle w:val="11"/>
          <w:rFonts w:hint="eastAsia" w:ascii="宋体" w:hAnsi="宋体"/>
          <w:kern w:val="0"/>
          <w:sz w:val="24"/>
        </w:rPr>
        <w:t xml:space="preserve">    </w:t>
      </w:r>
      <w:r>
        <w:rPr>
          <w:rStyle w:val="11"/>
          <w:rFonts w:hint="eastAsia" w:ascii="宋体" w:hAnsi="宋体"/>
          <w:kern w:val="0"/>
          <w:sz w:val="24"/>
          <w:lang w:val="en-US" w:eastAsia="zh-CN"/>
        </w:rPr>
        <w:t xml:space="preserve"> 类别：政治建设类     </w:t>
      </w:r>
    </w:p>
    <w:p>
      <w:pPr>
        <w:spacing w:line="320" w:lineRule="exact"/>
        <w:jc w:val="left"/>
        <w:rPr>
          <w:rStyle w:val="11"/>
          <w:rFonts w:ascii="宋体" w:hAnsi="宋体"/>
          <w:kern w:val="0"/>
          <w:sz w:val="24"/>
        </w:rPr>
      </w:pPr>
      <w:r>
        <w:rPr>
          <w:rStyle w:val="11"/>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7"/>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1"/>
                <w:rFonts w:ascii="宋体" w:hAnsi="宋体"/>
                <w:kern w:val="0"/>
                <w:sz w:val="24"/>
              </w:rPr>
            </w:pPr>
            <w:r>
              <w:rPr>
                <w:rStyle w:val="11"/>
                <w:rFonts w:ascii="黑体" w:hAnsi="宋体" w:eastAsia="黑体" w:cs="宋体"/>
                <w:b/>
                <w:bCs/>
                <w:kern w:val="0"/>
                <w:sz w:val="24"/>
              </w:rPr>
              <w:t>案</w:t>
            </w:r>
            <w:r>
              <w:rPr>
                <w:rStyle w:val="11"/>
                <w:rFonts w:ascii="宋体" w:hAnsi="宋体" w:eastAsia="黑体" w:cs="宋体"/>
                <w:b/>
                <w:bCs/>
                <w:kern w:val="0"/>
                <w:sz w:val="24"/>
              </w:rPr>
              <w:t>  </w:t>
            </w:r>
            <w:r>
              <w:rPr>
                <w:rStyle w:val="11"/>
                <w:rFonts w:ascii="黑体" w:hAnsi="宋体" w:eastAsia="黑体" w:cs="宋体"/>
                <w:b/>
                <w:bCs/>
                <w:kern w:val="0"/>
                <w:sz w:val="24"/>
              </w:rPr>
              <w:t>由</w:t>
            </w:r>
            <w:r>
              <w:rPr>
                <w:rStyle w:val="11"/>
                <w:rFonts w:ascii="宋体" w:hAnsi="宋体" w:cs="宋体"/>
                <w:b/>
                <w:bCs/>
                <w:kern w:val="0"/>
                <w:sz w:val="24"/>
              </w:rPr>
              <w:t>：</w:t>
            </w:r>
          </w:p>
        </w:tc>
        <w:tc>
          <w:tcPr>
            <w:tcW w:w="6797" w:type="dxa"/>
            <w:gridSpan w:val="3"/>
            <w:vAlign w:val="center"/>
          </w:tcPr>
          <w:p>
            <w:pPr>
              <w:jc w:val="left"/>
              <w:rPr>
                <w:rStyle w:val="11"/>
                <w:rFonts w:ascii="宋体" w:hAnsi="宋体" w:cs="宋体"/>
                <w:b/>
                <w:bCs/>
                <w:kern w:val="0"/>
                <w:sz w:val="24"/>
              </w:rPr>
            </w:pPr>
            <w:r>
              <w:rPr>
                <w:rFonts w:hint="eastAsia"/>
              </w:rPr>
              <w:t>关于进一步加强对大学生到村（居）任职管理和培养的建议</w:t>
            </w:r>
          </w:p>
        </w:tc>
      </w:tr>
      <w:tr>
        <w:tblPrEx>
          <w:tblCellMar>
            <w:top w:w="0" w:type="dxa"/>
            <w:left w:w="15" w:type="dxa"/>
            <w:bottom w:w="0" w:type="dxa"/>
            <w:right w:w="15" w:type="dxa"/>
          </w:tblCellMar>
        </w:tblPrEx>
        <w:tc>
          <w:tcPr>
            <w:tcW w:w="1753" w:type="dxa"/>
            <w:vAlign w:val="center"/>
          </w:tcPr>
          <w:p>
            <w:pPr>
              <w:jc w:val="left"/>
              <w:rPr>
                <w:rStyle w:val="11"/>
                <w:rFonts w:ascii="宋体" w:hAnsi="宋体"/>
                <w:kern w:val="0"/>
                <w:sz w:val="24"/>
              </w:rPr>
            </w:pPr>
            <w:r>
              <w:rPr>
                <w:rStyle w:val="11"/>
                <w:rFonts w:ascii="黑体" w:hAnsi="宋体" w:eastAsia="黑体" w:cs="宋体"/>
                <w:b/>
                <w:bCs/>
                <w:kern w:val="0"/>
                <w:sz w:val="24"/>
              </w:rPr>
              <w:t>审查意见</w:t>
            </w:r>
            <w:r>
              <w:rPr>
                <w:rStyle w:val="11"/>
                <w:rFonts w:ascii="宋体" w:hAnsi="宋体" w:cs="宋体"/>
                <w:b/>
                <w:bCs/>
                <w:kern w:val="0"/>
                <w:sz w:val="24"/>
              </w:rPr>
              <w:t>：</w:t>
            </w:r>
          </w:p>
        </w:tc>
        <w:tc>
          <w:tcPr>
            <w:tcW w:w="6797" w:type="dxa"/>
            <w:gridSpan w:val="3"/>
            <w:vAlign w:val="center"/>
          </w:tcPr>
          <w:p>
            <w:pPr>
              <w:jc w:val="left"/>
              <w:rPr>
                <w:rStyle w:val="11"/>
                <w:rFonts w:hint="default" w:ascii="宋体" w:hAnsi="宋体"/>
                <w:kern w:val="0"/>
                <w:sz w:val="24"/>
                <w:lang w:val="en-US" w:eastAsia="zh-CN"/>
              </w:rPr>
            </w:pPr>
            <w:r>
              <w:rPr>
                <w:rStyle w:val="11"/>
                <w:rFonts w:hint="eastAsia" w:ascii="宋体" w:hAnsi="宋体"/>
                <w:kern w:val="0"/>
                <w:sz w:val="24"/>
                <w:lang w:eastAsia="zh-CN"/>
              </w:rPr>
              <w:t>主办：州人社局</w:t>
            </w:r>
            <w:r>
              <w:rPr>
                <w:rStyle w:val="11"/>
                <w:rFonts w:hint="eastAsia" w:ascii="宋体" w:hAnsi="宋体"/>
                <w:kern w:val="0"/>
                <w:sz w:val="24"/>
                <w:lang w:val="en-US" w:eastAsia="zh-CN"/>
              </w:rPr>
              <w:t xml:space="preserve">  会办：州委组织部、州民政局</w:t>
            </w:r>
            <w:bookmarkStart w:id="0" w:name="_GoBack"/>
            <w:bookmarkEnd w:id="0"/>
          </w:p>
        </w:tc>
      </w:tr>
      <w:tr>
        <w:tblPrEx>
          <w:tblCellMar>
            <w:top w:w="0" w:type="dxa"/>
            <w:left w:w="15" w:type="dxa"/>
            <w:bottom w:w="0" w:type="dxa"/>
            <w:right w:w="15" w:type="dxa"/>
          </w:tblCellMar>
        </w:tblPrEx>
        <w:tc>
          <w:tcPr>
            <w:tcW w:w="1753" w:type="dxa"/>
            <w:vAlign w:val="center"/>
          </w:tcPr>
          <w:p>
            <w:pPr>
              <w:jc w:val="left"/>
              <w:rPr>
                <w:rStyle w:val="11"/>
                <w:rFonts w:ascii="黑体" w:hAnsi="宋体" w:eastAsia="黑体"/>
                <w:kern w:val="0"/>
                <w:sz w:val="24"/>
              </w:rPr>
            </w:pPr>
            <w:r>
              <w:rPr>
                <w:rStyle w:val="11"/>
                <w:rFonts w:ascii="黑体" w:hAnsi="宋体" w:eastAsia="黑体" w:cs="宋体"/>
                <w:b/>
                <w:bCs/>
                <w:kern w:val="0"/>
                <w:sz w:val="24"/>
              </w:rPr>
              <w:t>提</w:t>
            </w:r>
            <w:r>
              <w:rPr>
                <w:rStyle w:val="11"/>
                <w:rFonts w:hint="eastAsia" w:ascii="黑体" w:hAnsi="宋体" w:eastAsia="黑体" w:cs="宋体"/>
                <w:b/>
                <w:bCs/>
                <w:kern w:val="0"/>
                <w:sz w:val="24"/>
                <w:lang w:val="en-US" w:eastAsia="zh-CN"/>
              </w:rPr>
              <w:t xml:space="preserve"> </w:t>
            </w:r>
            <w:r>
              <w:rPr>
                <w:rStyle w:val="11"/>
                <w:rFonts w:ascii="黑体" w:hAnsi="宋体" w:eastAsia="黑体" w:cs="宋体"/>
                <w:b/>
                <w:bCs/>
                <w:kern w:val="0"/>
                <w:sz w:val="24"/>
              </w:rPr>
              <w:t>案</w:t>
            </w:r>
            <w:r>
              <w:rPr>
                <w:rStyle w:val="11"/>
                <w:rFonts w:hint="eastAsia" w:ascii="黑体" w:hAnsi="宋体" w:eastAsia="黑体" w:cs="宋体"/>
                <w:b/>
                <w:bCs/>
                <w:kern w:val="0"/>
                <w:sz w:val="24"/>
                <w:lang w:val="en-US" w:eastAsia="zh-CN"/>
              </w:rPr>
              <w:t xml:space="preserve"> </w:t>
            </w:r>
            <w:r>
              <w:rPr>
                <w:rStyle w:val="11"/>
                <w:rFonts w:ascii="黑体" w:hAnsi="宋体" w:eastAsia="黑体" w:cs="宋体"/>
                <w:b/>
                <w:bCs/>
                <w:kern w:val="0"/>
                <w:sz w:val="24"/>
              </w:rPr>
              <w:t>人</w:t>
            </w:r>
            <w:r>
              <w:rPr>
                <w:rStyle w:val="11"/>
                <w:rFonts w:ascii="宋体" w:hAnsi="宋体" w:eastAsia="黑体" w:cs="宋体"/>
                <w:b/>
                <w:bCs/>
                <w:kern w:val="0"/>
                <w:sz w:val="24"/>
              </w:rPr>
              <w:t>：</w:t>
            </w:r>
          </w:p>
        </w:tc>
        <w:tc>
          <w:tcPr>
            <w:tcW w:w="3872" w:type="dxa"/>
            <w:vAlign w:val="center"/>
          </w:tcPr>
          <w:p>
            <w:pPr>
              <w:jc w:val="left"/>
              <w:rPr>
                <w:rStyle w:val="11"/>
                <w:rFonts w:ascii="宋体" w:hAnsi="宋体"/>
                <w:kern w:val="0"/>
                <w:sz w:val="24"/>
              </w:rPr>
            </w:pPr>
            <w:r>
              <w:rPr>
                <w:rStyle w:val="11"/>
                <w:rFonts w:ascii="宋体" w:hAnsi="宋体" w:cs="宋体"/>
                <w:b/>
                <w:bCs/>
                <w:kern w:val="0"/>
                <w:sz w:val="24"/>
              </w:rPr>
              <w:t>通讯地址</w:t>
            </w:r>
          </w:p>
        </w:tc>
        <w:tc>
          <w:tcPr>
            <w:tcW w:w="1440" w:type="dxa"/>
            <w:vAlign w:val="center"/>
          </w:tcPr>
          <w:p>
            <w:pPr>
              <w:jc w:val="left"/>
              <w:rPr>
                <w:rStyle w:val="11"/>
                <w:rFonts w:ascii="宋体" w:hAnsi="宋体"/>
                <w:kern w:val="0"/>
                <w:sz w:val="24"/>
              </w:rPr>
            </w:pPr>
            <w:r>
              <w:rPr>
                <w:rStyle w:val="11"/>
                <w:rFonts w:ascii="宋体" w:hAnsi="宋体" w:cs="宋体"/>
                <w:b/>
                <w:bCs/>
                <w:kern w:val="0"/>
                <w:sz w:val="24"/>
              </w:rPr>
              <w:t>邮政编码</w:t>
            </w:r>
          </w:p>
        </w:tc>
        <w:tc>
          <w:tcPr>
            <w:tcW w:w="1485" w:type="dxa"/>
            <w:vAlign w:val="center"/>
          </w:tcPr>
          <w:p>
            <w:pPr>
              <w:jc w:val="left"/>
              <w:rPr>
                <w:rStyle w:val="11"/>
                <w:rFonts w:ascii="宋体" w:hAnsi="宋体"/>
                <w:kern w:val="0"/>
                <w:sz w:val="24"/>
              </w:rPr>
            </w:pPr>
            <w:r>
              <w:rPr>
                <w:rStyle w:val="11"/>
                <w:rFonts w:ascii="宋体" w:hAnsi="宋体" w:cs="宋体"/>
                <w:b/>
                <w:bCs/>
                <w:kern w:val="0"/>
                <w:sz w:val="24"/>
              </w:rPr>
              <w:t>联系电话</w:t>
            </w:r>
          </w:p>
        </w:tc>
      </w:tr>
      <w:tr>
        <w:tc>
          <w:tcPr>
            <w:tcW w:w="1753" w:type="dxa"/>
            <w:vAlign w:val="center"/>
          </w:tcPr>
          <w:p>
            <w:pPr>
              <w:pStyle w:val="3"/>
              <w:ind w:left="0" w:leftChars="0" w:firstLine="0" w:firstLineChars="0"/>
              <w:rPr>
                <w:rFonts w:hint="eastAsia"/>
              </w:rPr>
            </w:pPr>
            <w:r>
              <w:rPr>
                <w:rFonts w:hint="eastAsia"/>
              </w:rPr>
              <w:t>袁碧华</w:t>
            </w:r>
          </w:p>
          <w:p>
            <w:pPr>
              <w:rPr>
                <w:rFonts w:hint="eastAsia"/>
                <w:lang w:eastAsia="zh-CN"/>
              </w:rPr>
            </w:pPr>
            <w:r>
              <w:rPr>
                <w:rFonts w:hint="eastAsia"/>
                <w:lang w:eastAsia="zh-CN"/>
              </w:rPr>
              <w:t>韦  燏</w:t>
            </w:r>
          </w:p>
        </w:tc>
        <w:tc>
          <w:tcPr>
            <w:tcW w:w="3872" w:type="dxa"/>
            <w:vAlign w:val="center"/>
          </w:tcPr>
          <w:p>
            <w:pPr>
              <w:jc w:val="left"/>
              <w:rPr>
                <w:rStyle w:val="11"/>
                <w:rFonts w:hint="eastAsia" w:ascii="宋体" w:hAnsi="宋体" w:eastAsia="宋体"/>
                <w:kern w:val="0"/>
                <w:sz w:val="24"/>
                <w:lang w:val="en-US" w:eastAsia="zh-CN"/>
              </w:rPr>
            </w:pPr>
            <w:r>
              <w:rPr>
                <w:rFonts w:hint="eastAsia"/>
              </w:rPr>
              <w:t>丹寨县政协</w:t>
            </w:r>
          </w:p>
        </w:tc>
        <w:tc>
          <w:tcPr>
            <w:tcW w:w="1440" w:type="dxa"/>
            <w:vAlign w:val="center"/>
          </w:tcPr>
          <w:p>
            <w:pPr>
              <w:jc w:val="left"/>
              <w:rPr>
                <w:rStyle w:val="11"/>
                <w:rFonts w:hint="default" w:ascii="宋体" w:hAnsi="宋体" w:eastAsia="宋体"/>
                <w:kern w:val="0"/>
                <w:sz w:val="24"/>
                <w:lang w:val="en-US" w:eastAsia="zh-CN"/>
              </w:rPr>
            </w:pPr>
            <w:r>
              <w:rPr>
                <w:rStyle w:val="11"/>
                <w:rFonts w:hint="eastAsia" w:ascii="宋体" w:hAnsi="宋体"/>
                <w:kern w:val="0"/>
                <w:sz w:val="24"/>
                <w:lang w:val="en-US" w:eastAsia="zh-CN"/>
              </w:rPr>
              <w:t>557500</w:t>
            </w:r>
          </w:p>
        </w:tc>
        <w:tc>
          <w:tcPr>
            <w:tcW w:w="1485" w:type="dxa"/>
            <w:vAlign w:val="center"/>
          </w:tcPr>
          <w:p>
            <w:pPr>
              <w:jc w:val="left"/>
              <w:rPr>
                <w:rFonts w:hint="default"/>
                <w:lang w:val="en-US" w:eastAsia="zh-CN"/>
              </w:rPr>
            </w:pPr>
            <w:r>
              <w:rPr>
                <w:rFonts w:hint="eastAsia"/>
              </w:rPr>
              <w:t>15985574999</w:t>
            </w:r>
          </w:p>
        </w:tc>
      </w:tr>
      <w:tr>
        <w:tblPrEx>
          <w:tblCellMar>
            <w:top w:w="0" w:type="dxa"/>
            <w:left w:w="15" w:type="dxa"/>
            <w:bottom w:w="0" w:type="dxa"/>
            <w:right w:w="15" w:type="dxa"/>
          </w:tblCellMar>
        </w:tblPrEx>
        <w:tc>
          <w:tcPr>
            <w:tcW w:w="1753" w:type="dxa"/>
            <w:vAlign w:val="center"/>
          </w:tcPr>
          <w:p>
            <w:pPr>
              <w:jc w:val="left"/>
              <w:rPr>
                <w:rStyle w:val="11"/>
                <w:rFonts w:hint="eastAsia" w:ascii="宋体" w:hAnsi="宋体" w:eastAsia="宋体"/>
                <w:kern w:val="0"/>
                <w:sz w:val="24"/>
                <w:lang w:eastAsia="zh-CN"/>
              </w:rPr>
            </w:pPr>
            <w:r>
              <w:rPr>
                <w:rStyle w:val="11"/>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1"/>
                <w:rFonts w:hint="eastAsia" w:ascii="宋体" w:hAnsi="宋体"/>
                <w:kern w:val="0"/>
                <w:sz w:val="24"/>
                <w:lang w:val="en-US" w:eastAsia="zh-CN"/>
              </w:rPr>
            </w:pPr>
            <w:r>
              <w:rPr>
                <w:rStyle w:val="11"/>
                <w:rFonts w:hint="eastAsia" w:ascii="宋体" w:hAnsi="宋体"/>
                <w:kern w:val="0"/>
                <w:sz w:val="24"/>
                <w:lang w:eastAsia="zh-CN"/>
              </w:rPr>
              <w:t>州委办秘书五科：</w:t>
            </w:r>
            <w:r>
              <w:rPr>
                <w:rStyle w:val="11"/>
                <w:rFonts w:hint="eastAsia" w:ascii="宋体" w:hAnsi="宋体"/>
                <w:kern w:val="0"/>
                <w:sz w:val="24"/>
                <w:lang w:val="en-US" w:eastAsia="zh-CN"/>
              </w:rPr>
              <w:t>8270060；</w:t>
            </w:r>
            <w:r>
              <w:rPr>
                <w:rStyle w:val="11"/>
                <w:rFonts w:hint="eastAsia" w:ascii="宋体" w:hAnsi="宋体"/>
                <w:kern w:val="0"/>
                <w:sz w:val="24"/>
                <w:lang w:eastAsia="zh-CN"/>
              </w:rPr>
              <w:t>州政府办建议提案科：</w:t>
            </w:r>
            <w:r>
              <w:rPr>
                <w:rStyle w:val="11"/>
                <w:rFonts w:hint="eastAsia" w:ascii="宋体" w:hAnsi="宋体"/>
                <w:kern w:val="0"/>
                <w:sz w:val="24"/>
                <w:lang w:val="en-US" w:eastAsia="zh-CN"/>
              </w:rPr>
              <w:t>8260016；</w:t>
            </w:r>
          </w:p>
          <w:p>
            <w:pPr>
              <w:jc w:val="left"/>
              <w:rPr>
                <w:rStyle w:val="11"/>
                <w:rFonts w:hint="default" w:ascii="宋体" w:hAnsi="宋体"/>
                <w:kern w:val="0"/>
                <w:sz w:val="24"/>
                <w:lang w:val="en-US"/>
              </w:rPr>
            </w:pPr>
            <w:r>
              <w:rPr>
                <w:rStyle w:val="11"/>
                <w:rFonts w:hint="eastAsia" w:ascii="宋体" w:hAnsi="宋体"/>
                <w:kern w:val="0"/>
                <w:sz w:val="24"/>
                <w:lang w:eastAsia="zh-CN"/>
              </w:rPr>
              <w:t>州政协提案委：</w:t>
            </w:r>
            <w:r>
              <w:rPr>
                <w:rStyle w:val="11"/>
                <w:rFonts w:hint="eastAsia" w:ascii="宋体" w:hAnsi="宋体"/>
                <w:kern w:val="0"/>
                <w:sz w:val="24"/>
                <w:lang w:val="en-US" w:eastAsia="zh-CN"/>
              </w:rPr>
              <w:t>8428866</w:t>
            </w:r>
            <w:r>
              <w:rPr>
                <w:rStyle w:val="11"/>
                <w:rFonts w:hint="eastAsia" w:ascii="宋体" w:hAnsi="宋体"/>
                <w:kern w:val="0"/>
                <w:sz w:val="24"/>
                <w:lang w:eastAsia="zh-CN"/>
              </w:rPr>
              <w:t>。</w:t>
            </w:r>
          </w:p>
        </w:tc>
      </w:tr>
    </w:tbl>
    <w:p>
      <w:pPr>
        <w:jc w:val="left"/>
        <w:rPr>
          <w:rStyle w:val="11"/>
          <w:rFonts w:ascii="宋体" w:hAnsi="宋体"/>
          <w:kern w:val="0"/>
          <w:sz w:val="24"/>
        </w:rPr>
      </w:pPr>
      <w:r>
        <w:rPr>
          <w:rStyle w:val="11"/>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keepNext w:val="0"/>
        <w:keepLines w:val="0"/>
        <w:pageBreakBefore w:val="0"/>
        <w:kinsoku/>
        <w:overflowPunct/>
        <w:autoSpaceDE/>
        <w:autoSpaceDN/>
        <w:bidi w:val="0"/>
        <w:adjustRightInd/>
        <w:snapToGrid/>
        <w:spacing w:beforeAutospacing="0" w:afterAutospacing="0" w:line="560" w:lineRule="exact"/>
        <w:rPr>
          <w:rStyle w:val="11"/>
          <w:rFonts w:hint="eastAsia" w:ascii="仿宋_GB2312" w:hAnsi="宋体" w:eastAsia="仿宋_GB2312"/>
          <w:kern w:val="0"/>
          <w:sz w:val="32"/>
          <w:szCs w:val="32"/>
        </w:rPr>
      </w:pPr>
      <w:r>
        <w:rPr>
          <w:rStyle w:val="11"/>
          <w:rFonts w:hint="eastAsia" w:ascii="仿宋_GB2312" w:hAnsi="宋体" w:eastAsia="仿宋_GB2312"/>
          <w:kern w:val="0"/>
          <w:sz w:val="32"/>
          <w:szCs w:val="32"/>
        </w:rPr>
        <w:t>内容和办法</w:t>
      </w:r>
      <w:r>
        <w:rPr>
          <w:rStyle w:val="11"/>
          <w:rFonts w:hint="eastAsia" w:ascii="仿宋_GB2312" w:hAnsi="宋体" w:eastAsia="仿宋_GB2312"/>
          <w:kern w:val="0"/>
          <w:sz w:val="32"/>
          <w:szCs w:val="32"/>
          <w:lang w:eastAsia="zh-CN"/>
        </w:rPr>
        <w:t>：</w:t>
      </w:r>
    </w:p>
    <w:p>
      <w:pPr>
        <w:pStyle w:val="6"/>
        <w:shd w:val="clear" w:color="auto" w:fill="FFFFFF"/>
        <w:topLinePunct/>
        <w:spacing w:beforeAutospacing="0" w:afterAutospacing="0" w:line="500" w:lineRule="exact"/>
        <w:ind w:firstLine="640" w:firstLineChars="200"/>
        <w:jc w:val="both"/>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近年来选聘高校毕业生到村（居）任职，是中央着眼于深化农村改革，为农村输送培养新农村建设和乡村振兴工作带头人实施的“强基工程”。高校大学生到村任“村官”对改善村级班子结构，提升村级班子整体文化素质和产业带动发展，实现乡村振兴起到了积极作用。这些大学生“村官”到农村基层工作以后，充分利用自己的所学和特长，积极为建设农村、服务农民、发展农业作出贡献。同时，自身也得到了锻炼和提升，成为新农村脱贫成效后期巩固和乡村振兴有效衔接工作的骨干力量。</w:t>
      </w:r>
    </w:p>
    <w:p>
      <w:pPr>
        <w:pStyle w:val="6"/>
        <w:shd w:val="clear" w:color="auto" w:fill="FFFFFF"/>
        <w:topLinePunct/>
        <w:spacing w:beforeAutospacing="0" w:afterAutospacing="0" w:line="500" w:lineRule="exact"/>
        <w:ind w:firstLine="640" w:firstLineChars="200"/>
        <w:jc w:val="both"/>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然而，近年来，现实中大学生“村官”也暴露出一些问题。主要表现在以下几个方面：</w:t>
      </w:r>
      <w:r>
        <w:rPr>
          <w:rFonts w:hint="eastAsia" w:ascii="仿宋_GB2312" w:hAnsi="仿宋_GB2312" w:eastAsia="仿宋_GB2312" w:cs="仿宋_GB2312"/>
          <w:b/>
          <w:bCs/>
          <w:kern w:val="32"/>
          <w:sz w:val="32"/>
          <w:szCs w:val="32"/>
        </w:rPr>
        <w:t>一是</w:t>
      </w:r>
      <w:r>
        <w:rPr>
          <w:rFonts w:hint="eastAsia" w:ascii="仿宋_GB2312" w:hAnsi="仿宋_GB2312" w:eastAsia="仿宋_GB2312" w:cs="仿宋_GB2312"/>
          <w:kern w:val="32"/>
          <w:sz w:val="32"/>
          <w:szCs w:val="32"/>
        </w:rPr>
        <w:t>难融入农村、难贴近农民。不少大学生虽在村任职，但多数却仅以“助理”或村副主任的身份协助村“两委”做日常工作。多数村把大学生当作“档案员”“书记员”和“勤杂工”，只让他们干些写写材料、跑跑腿、接待服务、环境卫生的事情，从事实质工作的机会不多，实践锻炼的机会较少。甚至有个别乡镇因机关人员不足，短期借用大学生村官参与乡镇中心工作，大学生被“截留”，村官成了“挂名”。不能全面接触、深入体验农村，就不能从心底认同农村，也就难以真正融入农村、贴近农民；</w:t>
      </w:r>
      <w:r>
        <w:rPr>
          <w:rFonts w:hint="eastAsia" w:ascii="仿宋_GB2312" w:hAnsi="仿宋_GB2312" w:eastAsia="仿宋_GB2312" w:cs="仿宋_GB2312"/>
          <w:b/>
          <w:bCs/>
          <w:kern w:val="32"/>
          <w:sz w:val="32"/>
          <w:szCs w:val="32"/>
        </w:rPr>
        <w:t>二是</w:t>
      </w:r>
      <w:r>
        <w:rPr>
          <w:rFonts w:hint="eastAsia" w:ascii="仿宋_GB2312" w:hAnsi="仿宋_GB2312" w:eastAsia="仿宋_GB2312" w:cs="仿宋_GB2312"/>
          <w:kern w:val="32"/>
          <w:sz w:val="32"/>
          <w:szCs w:val="32"/>
        </w:rPr>
        <w:t>工作被边缘化。由于多数大学生在村任职多是助理或村副主任岗位，没有明确具体的分工，独立开展工作的空间不大，量力而行有余、尽力而为不够。有的地方甚至认为，大学生“村官”虽然文化水平高，但务不了农、干不好活、摆不平群众的事，“有他不多、无他也不少”。工作往往被边缘化，而大学生村官自己想干事难，想干成一件事更难；</w:t>
      </w:r>
      <w:r>
        <w:rPr>
          <w:rFonts w:hint="eastAsia" w:ascii="仿宋_GB2312" w:hAnsi="仿宋_GB2312" w:eastAsia="仿宋_GB2312" w:cs="仿宋_GB2312"/>
          <w:b/>
          <w:bCs/>
          <w:kern w:val="32"/>
          <w:sz w:val="32"/>
          <w:szCs w:val="32"/>
        </w:rPr>
        <w:t>三是</w:t>
      </w:r>
      <w:r>
        <w:rPr>
          <w:rFonts w:hint="eastAsia" w:ascii="仿宋_GB2312" w:hAnsi="仿宋_GB2312" w:eastAsia="仿宋_GB2312" w:cs="仿宋_GB2312"/>
          <w:kern w:val="32"/>
          <w:sz w:val="32"/>
          <w:szCs w:val="32"/>
        </w:rPr>
        <w:t>看不到未来。过去几年，县市在招考公务员或事业单位人员时，多数县市都拿出一定比例的岗位针对在村任职的村两委班子进行招考。可近年来，此项政策已经不再实施，导致部分大学生“村官”担忧自己在村苦干实干两年或三年期满后怎么办，没什么前途，看不到出路，导致工作不安心、不出力。</w:t>
      </w:r>
    </w:p>
    <w:p>
      <w:pPr>
        <w:pStyle w:val="6"/>
        <w:shd w:val="clear" w:color="auto" w:fill="FFFFFF"/>
        <w:topLinePunct/>
        <w:spacing w:beforeAutospacing="0" w:afterAutospacing="0" w:line="500" w:lineRule="exact"/>
        <w:ind w:firstLine="643" w:firstLineChars="200"/>
        <w:jc w:val="both"/>
        <w:rPr>
          <w:rFonts w:ascii="仿宋_GB2312" w:hAnsi="仿宋_GB2312" w:eastAsia="仿宋_GB2312" w:cs="仿宋_GB2312"/>
          <w:b/>
          <w:bCs/>
          <w:kern w:val="32"/>
          <w:sz w:val="32"/>
          <w:szCs w:val="32"/>
        </w:rPr>
      </w:pPr>
      <w:r>
        <w:rPr>
          <w:rFonts w:hint="eastAsia" w:ascii="仿宋_GB2312" w:hAnsi="仿宋_GB2312" w:eastAsia="仿宋_GB2312" w:cs="仿宋_GB2312"/>
          <w:b/>
          <w:bCs/>
          <w:kern w:val="32"/>
          <w:sz w:val="32"/>
          <w:szCs w:val="32"/>
        </w:rPr>
        <w:t>建议：</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baseline"/>
        <w:rPr>
          <w:rStyle w:val="11"/>
          <w:rFonts w:hint="eastAsia" w:ascii="仿宋_GB2312" w:hAnsi="宋体" w:eastAsia="仿宋_GB2312"/>
          <w:kern w:val="0"/>
          <w:sz w:val="32"/>
          <w:szCs w:val="32"/>
        </w:rPr>
      </w:pPr>
      <w:r>
        <w:rPr>
          <w:rFonts w:hint="eastAsia" w:ascii="仿宋_GB2312" w:hAnsi="仿宋_GB2312" w:eastAsia="仿宋_GB2312" w:cs="仿宋_GB2312"/>
          <w:b/>
          <w:bCs/>
          <w:i w:val="0"/>
          <w:iCs w:val="0"/>
          <w:caps w:val="0"/>
          <w:color w:val="000000"/>
          <w:spacing w:val="0"/>
          <w:w w:val="100"/>
          <w:kern w:val="32"/>
          <w:sz w:val="32"/>
          <w:szCs w:val="32"/>
          <w:shd w:val="clear" w:color="auto" w:fill="auto"/>
        </w:rPr>
        <w:t>一是</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提高选聘</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大学生村官的人员素质</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。在选聘大学生</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村官</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时要坚持好中选优和实用的原则，重点招</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聘</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具有农业</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类</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或具备经济、法律</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类等</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专业背景的大学生，防止出现大学生</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专业与群众</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期望脱节的现象</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w:t>
      </w:r>
      <w:r>
        <w:rPr>
          <w:rFonts w:hint="eastAsia" w:ascii="仿宋_GB2312" w:hAnsi="仿宋_GB2312" w:eastAsia="仿宋_GB2312" w:cs="仿宋_GB2312"/>
          <w:b/>
          <w:bCs/>
          <w:i w:val="0"/>
          <w:iCs w:val="0"/>
          <w:caps w:val="0"/>
          <w:color w:val="000000"/>
          <w:spacing w:val="0"/>
          <w:w w:val="100"/>
          <w:kern w:val="32"/>
          <w:sz w:val="32"/>
          <w:szCs w:val="32"/>
          <w:shd w:val="clear" w:color="auto" w:fill="auto"/>
        </w:rPr>
        <w:t>二是</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加强日常管理。着力解决部分大学生村官被长期借调、不在村里工作等问题</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督促各地及时兑现落实生活补贴等保障政策，强化思想教育和心理疏导，帮助</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大学生村官</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解决实际困难</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w:t>
      </w:r>
      <w:r>
        <w:rPr>
          <w:rFonts w:hint="eastAsia" w:ascii="仿宋_GB2312" w:hAnsi="仿宋_GB2312" w:eastAsia="仿宋_GB2312" w:cs="仿宋_GB2312"/>
          <w:b/>
          <w:bCs/>
          <w:i w:val="0"/>
          <w:iCs w:val="0"/>
          <w:caps w:val="0"/>
          <w:color w:val="000000"/>
          <w:spacing w:val="0"/>
          <w:w w:val="100"/>
          <w:kern w:val="32"/>
          <w:sz w:val="32"/>
          <w:szCs w:val="32"/>
          <w:shd w:val="clear" w:color="auto" w:fill="auto"/>
          <w:lang w:eastAsia="zh-CN"/>
        </w:rPr>
        <w:t>三是</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重点</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加强</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培养使用。结合村</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居</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换届，鼓励和支持优秀大学生村官通过选举担任村党支部书记和村委会主任</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正职</w:t>
      </w:r>
      <w:r>
        <w:rPr>
          <w:rFonts w:hint="eastAsia" w:ascii="仿宋_GB2312" w:hAnsi="仿宋_GB2312" w:eastAsia="仿宋_GB2312" w:cs="仿宋_GB2312"/>
          <w:b/>
          <w:bCs/>
          <w:i w:val="0"/>
          <w:iCs w:val="0"/>
          <w:caps w:val="0"/>
          <w:color w:val="auto"/>
          <w:spacing w:val="0"/>
          <w:w w:val="100"/>
          <w:kern w:val="32"/>
          <w:sz w:val="32"/>
          <w:szCs w:val="32"/>
          <w:highlight w:val="none"/>
          <w:shd w:val="clear" w:color="auto" w:fill="auto"/>
          <w:lang w:eastAsia="zh-CN"/>
        </w:rPr>
        <w:t>（或</w:t>
      </w:r>
      <w:r>
        <w:rPr>
          <w:rFonts w:hint="eastAsia" w:ascii="仿宋_GB2312" w:hAnsi="仿宋_GB2312" w:eastAsia="仿宋_GB2312" w:cs="仿宋_GB2312"/>
          <w:b/>
          <w:bCs/>
          <w:i w:val="0"/>
          <w:iCs w:val="0"/>
          <w:caps w:val="0"/>
          <w:color w:val="auto"/>
          <w:spacing w:val="0"/>
          <w:w w:val="100"/>
          <w:kern w:val="32"/>
          <w:sz w:val="32"/>
          <w:szCs w:val="32"/>
          <w:highlight w:val="none"/>
          <w:shd w:val="clear" w:color="auto" w:fill="auto"/>
          <w:lang w:val="en-US" w:eastAsia="zh-CN"/>
        </w:rPr>
        <w:t>村五大员）</w:t>
      </w:r>
      <w:r>
        <w:rPr>
          <w:rFonts w:hint="eastAsia" w:ascii="仿宋_GB2312" w:hAnsi="仿宋_GB2312" w:eastAsia="仿宋_GB2312" w:cs="仿宋_GB2312"/>
          <w:b w:val="0"/>
          <w:i w:val="0"/>
          <w:iCs w:val="0"/>
          <w:caps w:val="0"/>
          <w:color w:val="auto"/>
          <w:spacing w:val="0"/>
          <w:w w:val="100"/>
          <w:kern w:val="32"/>
          <w:sz w:val="32"/>
          <w:szCs w:val="32"/>
          <w:highlight w:val="none"/>
          <w:shd w:val="clear" w:color="auto" w:fill="auto"/>
          <w:lang w:eastAsia="zh-CN"/>
        </w:rPr>
        <w:t>；</w:t>
      </w:r>
      <w:r>
        <w:rPr>
          <w:rFonts w:hint="eastAsia" w:ascii="仿宋_GB2312" w:hAnsi="仿宋_GB2312" w:eastAsia="仿宋_GB2312" w:cs="仿宋_GB2312"/>
          <w:b/>
          <w:bCs/>
          <w:i w:val="0"/>
          <w:iCs w:val="0"/>
          <w:caps w:val="0"/>
          <w:color w:val="auto"/>
          <w:spacing w:val="0"/>
          <w:w w:val="100"/>
          <w:kern w:val="32"/>
          <w:sz w:val="32"/>
          <w:szCs w:val="32"/>
          <w:highlight w:val="none"/>
          <w:shd w:val="clear" w:color="auto" w:fill="auto"/>
          <w:lang w:eastAsia="zh-CN"/>
        </w:rPr>
        <w:t>四是</w:t>
      </w:r>
      <w:r>
        <w:rPr>
          <w:rFonts w:hint="eastAsia" w:ascii="仿宋_GB2312" w:hAnsi="仿宋_GB2312" w:eastAsia="仿宋_GB2312" w:cs="仿宋_GB2312"/>
          <w:b w:val="0"/>
          <w:i w:val="0"/>
          <w:iCs w:val="0"/>
          <w:caps w:val="0"/>
          <w:color w:val="auto"/>
          <w:spacing w:val="0"/>
          <w:w w:val="100"/>
          <w:kern w:val="32"/>
          <w:sz w:val="32"/>
          <w:szCs w:val="32"/>
          <w:highlight w:val="none"/>
          <w:shd w:val="clear" w:color="auto" w:fill="auto"/>
        </w:rPr>
        <w:t>在县、乡两级公务员</w:t>
      </w:r>
      <w:r>
        <w:rPr>
          <w:rFonts w:hint="eastAsia" w:ascii="仿宋_GB2312" w:hAnsi="仿宋_GB2312" w:eastAsia="仿宋_GB2312" w:cs="仿宋_GB2312"/>
          <w:b w:val="0"/>
          <w:i w:val="0"/>
          <w:iCs w:val="0"/>
          <w:caps w:val="0"/>
          <w:color w:val="auto"/>
          <w:spacing w:val="0"/>
          <w:w w:val="100"/>
          <w:kern w:val="32"/>
          <w:sz w:val="32"/>
          <w:szCs w:val="32"/>
          <w:highlight w:val="none"/>
          <w:shd w:val="clear" w:color="auto" w:fill="auto"/>
          <w:lang w:eastAsia="zh-CN"/>
        </w:rPr>
        <w:t>或</w:t>
      </w:r>
      <w:r>
        <w:rPr>
          <w:rFonts w:hint="eastAsia" w:ascii="仿宋_GB2312" w:hAnsi="仿宋_GB2312" w:eastAsia="仿宋_GB2312" w:cs="仿宋_GB2312"/>
          <w:b w:val="0"/>
          <w:i w:val="0"/>
          <w:iCs w:val="0"/>
          <w:caps w:val="0"/>
          <w:color w:val="auto"/>
          <w:spacing w:val="0"/>
          <w:w w:val="100"/>
          <w:kern w:val="32"/>
          <w:sz w:val="32"/>
          <w:szCs w:val="32"/>
          <w:highlight w:val="none"/>
          <w:shd w:val="clear" w:color="auto" w:fill="auto"/>
        </w:rPr>
        <w:t>事业单位</w:t>
      </w:r>
      <w:r>
        <w:rPr>
          <w:rFonts w:hint="eastAsia" w:ascii="仿宋_GB2312" w:hAnsi="仿宋_GB2312" w:eastAsia="仿宋_GB2312" w:cs="仿宋_GB2312"/>
          <w:b/>
          <w:bCs/>
          <w:i w:val="0"/>
          <w:iCs w:val="0"/>
          <w:caps w:val="0"/>
          <w:color w:val="auto"/>
          <w:spacing w:val="0"/>
          <w:w w:val="100"/>
          <w:kern w:val="32"/>
          <w:sz w:val="32"/>
          <w:szCs w:val="32"/>
          <w:highlight w:val="none"/>
          <w:shd w:val="clear" w:color="auto" w:fill="auto"/>
          <w:lang w:eastAsia="zh-CN"/>
        </w:rPr>
        <w:t>人</w:t>
      </w:r>
      <w:r>
        <w:rPr>
          <w:rFonts w:hint="default" w:ascii="仿宋_GB2312" w:hAnsi="仿宋_GB2312" w:eastAsia="仿宋_GB2312" w:cs="仿宋_GB2312"/>
          <w:b/>
          <w:bCs/>
          <w:i w:val="0"/>
          <w:iCs w:val="0"/>
          <w:caps w:val="0"/>
          <w:color w:val="auto"/>
          <w:spacing w:val="0"/>
          <w:w w:val="100"/>
          <w:kern w:val="32"/>
          <w:sz w:val="32"/>
          <w:szCs w:val="32"/>
          <w:highlight w:val="none"/>
          <w:shd w:val="clear" w:color="auto" w:fill="auto"/>
          <w:lang w:val="en-US" w:eastAsia="zh-CN"/>
        </w:rPr>
        <w:t>员</w:t>
      </w:r>
      <w:r>
        <w:rPr>
          <w:rFonts w:hint="eastAsia" w:ascii="仿宋_GB2312" w:hAnsi="仿宋_GB2312" w:eastAsia="仿宋_GB2312" w:cs="仿宋_GB2312"/>
          <w:b/>
          <w:bCs/>
          <w:i w:val="0"/>
          <w:iCs w:val="0"/>
          <w:caps w:val="0"/>
          <w:color w:val="auto"/>
          <w:spacing w:val="0"/>
          <w:w w:val="100"/>
          <w:kern w:val="32"/>
          <w:sz w:val="32"/>
          <w:szCs w:val="32"/>
          <w:highlight w:val="none"/>
          <w:shd w:val="clear" w:color="auto" w:fill="auto"/>
          <w:lang w:val="en-US" w:eastAsia="zh-CN"/>
        </w:rPr>
        <w:t>招</w:t>
      </w:r>
      <w:r>
        <w:rPr>
          <w:rFonts w:hint="default" w:ascii="仿宋_GB2312" w:hAnsi="仿宋_GB2312" w:eastAsia="仿宋_GB2312" w:cs="仿宋_GB2312"/>
          <w:b/>
          <w:bCs/>
          <w:i w:val="0"/>
          <w:iCs w:val="0"/>
          <w:caps w:val="0"/>
          <w:color w:val="auto"/>
          <w:spacing w:val="0"/>
          <w:w w:val="100"/>
          <w:kern w:val="32"/>
          <w:sz w:val="32"/>
          <w:szCs w:val="32"/>
          <w:highlight w:val="none"/>
          <w:shd w:val="clear" w:color="auto" w:fill="auto"/>
          <w:lang w:val="en-US" w:eastAsia="zh-CN"/>
        </w:rPr>
        <w:t>录</w:t>
      </w:r>
      <w:r>
        <w:rPr>
          <w:rFonts w:hint="eastAsia" w:ascii="仿宋_GB2312" w:hAnsi="仿宋_GB2312" w:eastAsia="仿宋_GB2312" w:cs="仿宋_GB2312"/>
          <w:b w:val="0"/>
          <w:i w:val="0"/>
          <w:iCs w:val="0"/>
          <w:caps w:val="0"/>
          <w:color w:val="auto"/>
          <w:spacing w:val="0"/>
          <w:w w:val="100"/>
          <w:kern w:val="32"/>
          <w:sz w:val="32"/>
          <w:szCs w:val="32"/>
          <w:highlight w:val="none"/>
          <w:shd w:val="clear" w:color="auto" w:fill="auto"/>
        </w:rPr>
        <w:t>中，</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除享受</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一定</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加分规定外，</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专职</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拿出一定比例的职位面向大学生村干部定向招</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录，确保大学生村官</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“下得去、待得住、干得好</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、有前途</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w:t>
      </w:r>
      <w:r>
        <w:rPr>
          <w:rFonts w:hint="eastAsia" w:ascii="仿宋_GB2312" w:hAnsi="仿宋_GB2312" w:eastAsia="仿宋_GB2312" w:cs="仿宋_GB2312"/>
          <w:b w:val="0"/>
          <w:i w:val="0"/>
          <w:iCs w:val="0"/>
          <w:caps w:val="0"/>
          <w:color w:val="000000"/>
          <w:spacing w:val="0"/>
          <w:w w:val="100"/>
          <w:kern w:val="32"/>
          <w:sz w:val="32"/>
          <w:szCs w:val="32"/>
          <w:shd w:val="clear" w:color="auto" w:fill="auto"/>
          <w:lang w:eastAsia="zh-CN"/>
        </w:rPr>
        <w:t>，</w:t>
      </w:r>
      <w:r>
        <w:rPr>
          <w:rFonts w:hint="eastAsia" w:ascii="仿宋_GB2312" w:hAnsi="仿宋_GB2312" w:eastAsia="仿宋_GB2312" w:cs="仿宋_GB2312"/>
          <w:b w:val="0"/>
          <w:i w:val="0"/>
          <w:iCs w:val="0"/>
          <w:caps w:val="0"/>
          <w:color w:val="000000"/>
          <w:spacing w:val="0"/>
          <w:w w:val="100"/>
          <w:kern w:val="32"/>
          <w:sz w:val="32"/>
          <w:szCs w:val="32"/>
          <w:shd w:val="clear" w:color="auto" w:fill="auto"/>
        </w:rPr>
        <w:t>让更多大学生村官心甘情愿扎根基层干一番事业。</w:t>
      </w:r>
      <w:r>
        <w:rPr>
          <w:rStyle w:val="11"/>
          <w:rFonts w:hint="eastAsia" w:ascii="仿宋_GB2312" w:hAnsi="宋体" w:eastAsia="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Style w:val="11"/>
          <w:rFonts w:hint="default" w:ascii="仿宋_GB2312" w:hAnsi="宋体" w:eastAsia="仿宋_GB2312"/>
          <w:kern w:val="0"/>
          <w:sz w:val="32"/>
          <w:szCs w:val="32"/>
          <w:lang w:val="en-US" w:eastAsia="zh-CN"/>
        </w:rPr>
      </w:pPr>
    </w:p>
    <w:p>
      <w:pPr>
        <w:keepNext w:val="0"/>
        <w:keepLines w:val="0"/>
        <w:pageBreakBefore w:val="0"/>
        <w:kinsoku/>
        <w:overflowPunct/>
        <w:autoSpaceDE/>
        <w:autoSpaceDN/>
        <w:bidi w:val="0"/>
        <w:adjustRightInd/>
        <w:snapToGrid/>
        <w:spacing w:beforeAutospacing="0" w:afterAutospacing="0" w:line="560" w:lineRule="exact"/>
        <w:ind w:firstLine="643" w:firstLineChars="200"/>
        <w:rPr>
          <w:rStyle w:val="11"/>
          <w:rFonts w:hint="eastAsia" w:ascii="仿宋" w:hAnsi="仿宋" w:eastAsia="仿宋" w:cs="仿宋"/>
          <w:kern w:val="0"/>
          <w:sz w:val="32"/>
          <w:szCs w:val="32"/>
          <w:lang w:val="en-US" w:eastAsia="zh-CN"/>
        </w:rPr>
      </w:pPr>
      <w:r>
        <w:rPr>
          <w:rStyle w:val="11"/>
          <w:rFonts w:hint="eastAsia" w:ascii="黑体" w:hAnsi="黑体" w:eastAsia="黑体" w:cs="黑体"/>
          <w:b/>
          <w:bCs/>
          <w:kern w:val="0"/>
          <w:sz w:val="32"/>
          <w:szCs w:val="32"/>
          <w:lang w:val="en-US" w:eastAsia="zh-CN"/>
        </w:rPr>
        <w:t>注：</w:t>
      </w:r>
      <w:r>
        <w:rPr>
          <w:rStyle w:val="11"/>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keepNext w:val="0"/>
        <w:keepLines w:val="0"/>
        <w:pageBreakBefore w:val="0"/>
        <w:kinsoku/>
        <w:overflowPunct/>
        <w:autoSpaceDE/>
        <w:autoSpaceDN/>
        <w:bidi w:val="0"/>
        <w:adjustRightInd/>
        <w:snapToGrid/>
        <w:spacing w:beforeAutospacing="0" w:afterAutospacing="0" w:line="560" w:lineRule="exact"/>
        <w:ind w:firstLine="1280" w:firstLineChars="400"/>
        <w:rPr>
          <w:rStyle w:val="11"/>
          <w:rFonts w:hint="default" w:ascii="仿宋" w:hAnsi="仿宋" w:eastAsia="仿宋" w:cs="仿宋"/>
          <w:kern w:val="0"/>
          <w:sz w:val="32"/>
          <w:szCs w:val="32"/>
          <w:lang w:val="en-US" w:eastAsia="zh-CN"/>
        </w:rPr>
      </w:pPr>
      <w:r>
        <w:rPr>
          <w:rStyle w:val="11"/>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Style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08B66956"/>
    <w:rsid w:val="10B40BCC"/>
    <w:rsid w:val="118823F2"/>
    <w:rsid w:val="16F969DB"/>
    <w:rsid w:val="18EC1E64"/>
    <w:rsid w:val="1B913D76"/>
    <w:rsid w:val="1BAB45FA"/>
    <w:rsid w:val="1D124BB8"/>
    <w:rsid w:val="20E366FE"/>
    <w:rsid w:val="21EA0B57"/>
    <w:rsid w:val="23370767"/>
    <w:rsid w:val="29EB237C"/>
    <w:rsid w:val="2BDD0731"/>
    <w:rsid w:val="2FD84B80"/>
    <w:rsid w:val="30B878C9"/>
    <w:rsid w:val="32794BB9"/>
    <w:rsid w:val="33552650"/>
    <w:rsid w:val="35A1653F"/>
    <w:rsid w:val="377737A4"/>
    <w:rsid w:val="38D60616"/>
    <w:rsid w:val="3A7B4D73"/>
    <w:rsid w:val="3F1A5C90"/>
    <w:rsid w:val="42F10C9F"/>
    <w:rsid w:val="493508EE"/>
    <w:rsid w:val="497C7186"/>
    <w:rsid w:val="4A196944"/>
    <w:rsid w:val="4F1E6C2C"/>
    <w:rsid w:val="4F6B5D70"/>
    <w:rsid w:val="4FD75182"/>
    <w:rsid w:val="507F065A"/>
    <w:rsid w:val="5236789E"/>
    <w:rsid w:val="559F1A55"/>
    <w:rsid w:val="56D548AF"/>
    <w:rsid w:val="5A7C34BF"/>
    <w:rsid w:val="5AA17385"/>
    <w:rsid w:val="5B7C24C8"/>
    <w:rsid w:val="5C6B77F5"/>
    <w:rsid w:val="5EFE215C"/>
    <w:rsid w:val="61895CCF"/>
    <w:rsid w:val="66F35DD9"/>
    <w:rsid w:val="6854075C"/>
    <w:rsid w:val="69A37ABB"/>
    <w:rsid w:val="6A644AE2"/>
    <w:rsid w:val="72DF1356"/>
    <w:rsid w:val="743C31A8"/>
    <w:rsid w:val="74620891"/>
    <w:rsid w:val="778C0E73"/>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table of authorities"/>
    <w:basedOn w:val="1"/>
    <w:next w:val="1"/>
    <w:qFormat/>
    <w:uiPriority w:val="0"/>
    <w:pPr>
      <w:ind w:left="420" w:leftChars="200"/>
    </w:pPr>
    <w:rPr>
      <w:szCs w:val="20"/>
    </w:rPr>
  </w:style>
  <w:style w:type="paragraph" w:styleId="4">
    <w:name w:val="footer"/>
    <w:basedOn w:val="1"/>
    <w:link w:val="22"/>
    <w:qFormat/>
    <w:uiPriority w:val="99"/>
    <w:pPr>
      <w:snapToGrid w:val="0"/>
      <w:jc w:val="left"/>
    </w:pPr>
    <w:rPr>
      <w:sz w:val="18"/>
      <w:szCs w:val="18"/>
    </w:rPr>
  </w:style>
  <w:style w:type="paragraph" w:styleId="5">
    <w:name w:val="header"/>
    <w:basedOn w:val="1"/>
    <w:qFormat/>
    <w:uiPriority w:val="0"/>
    <w:pPr>
      <w:pBdr>
        <w:bottom w:val="single" w:color="000000" w:sz="6" w:space="0"/>
      </w:pBdr>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qFormat/>
    <w:uiPriority w:val="0"/>
    <w:rPr>
      <w:rFonts w:cs="Times New Roman"/>
      <w:b/>
      <w:bCs/>
    </w:rPr>
  </w:style>
  <w:style w:type="character" w:styleId="10">
    <w:name w:val="Hyperlink"/>
    <w:basedOn w:val="11"/>
    <w:semiHidden/>
    <w:qFormat/>
    <w:uiPriority w:val="0"/>
    <w:rPr>
      <w:color w:val="0000FF"/>
      <w:u w:val="single"/>
    </w:rPr>
  </w:style>
  <w:style w:type="character" w:customStyle="1" w:styleId="11">
    <w:name w:val="NormalCharacter"/>
    <w:semiHidden/>
    <w:qFormat/>
    <w:uiPriority w:val="0"/>
  </w:style>
  <w:style w:type="paragraph" w:customStyle="1" w:styleId="12">
    <w:name w:val="正文-公1"/>
    <w:basedOn w:val="1"/>
    <w:qFormat/>
    <w:uiPriority w:val="99"/>
    <w:pPr>
      <w:ind w:firstLine="200" w:firstLineChars="200"/>
    </w:pPr>
    <w:rPr>
      <w:rFonts w:ascii="Calibri" w:hAnsi="Calibri"/>
    </w:rPr>
  </w:style>
  <w:style w:type="paragraph" w:customStyle="1" w:styleId="13">
    <w:name w:val="Heading1"/>
    <w:basedOn w:val="1"/>
    <w:link w:val="19"/>
    <w:qFormat/>
    <w:uiPriority w:val="0"/>
    <w:pPr>
      <w:spacing w:before="100" w:beforeAutospacing="1" w:after="100" w:afterAutospacing="1"/>
      <w:jc w:val="left"/>
    </w:pPr>
    <w:rPr>
      <w:rFonts w:ascii="宋体" w:hAnsi="宋体" w:cs="宋体"/>
      <w:b/>
      <w:bCs/>
      <w:kern w:val="36"/>
      <w:sz w:val="48"/>
      <w:szCs w:val="48"/>
    </w:rPr>
  </w:style>
  <w:style w:type="table" w:customStyle="1" w:styleId="14">
    <w:name w:val="TableNormal"/>
    <w:semiHidden/>
    <w:qFormat/>
    <w:uiPriority w:val="0"/>
    <w:tblPr>
      <w:tblCellMar>
        <w:top w:w="0" w:type="dxa"/>
        <w:left w:w="0" w:type="dxa"/>
        <w:bottom w:w="0" w:type="dxa"/>
        <w:right w:w="0" w:type="dxa"/>
      </w:tblCellMar>
    </w:tblPr>
  </w:style>
  <w:style w:type="paragraph" w:customStyle="1" w:styleId="15">
    <w:name w:val="Acetate"/>
    <w:basedOn w:val="1"/>
    <w:qFormat/>
    <w:uiPriority w:val="0"/>
    <w:rPr>
      <w:sz w:val="18"/>
      <w:szCs w:val="18"/>
    </w:rPr>
  </w:style>
  <w:style w:type="paragraph" w:customStyle="1" w:styleId="16">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7">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8">
    <w:name w:val="UserStyle_2"/>
    <w:basedOn w:val="1"/>
    <w:qFormat/>
    <w:uiPriority w:val="0"/>
    <w:pPr>
      <w:spacing w:before="100" w:beforeAutospacing="1" w:after="100" w:afterAutospacing="1"/>
      <w:jc w:val="left"/>
    </w:pPr>
    <w:rPr>
      <w:rFonts w:ascii="宋体" w:hAnsi="宋体"/>
      <w:kern w:val="0"/>
      <w:sz w:val="24"/>
    </w:rPr>
  </w:style>
  <w:style w:type="character" w:customStyle="1" w:styleId="19">
    <w:name w:val="UserStyle_3"/>
    <w:basedOn w:val="11"/>
    <w:link w:val="13"/>
    <w:qFormat/>
    <w:uiPriority w:val="0"/>
    <w:rPr>
      <w:rFonts w:ascii="宋体" w:hAnsi="宋体" w:cs="宋体"/>
      <w:b/>
      <w:bCs/>
      <w:kern w:val="36"/>
      <w:sz w:val="48"/>
      <w:szCs w:val="48"/>
    </w:rPr>
  </w:style>
  <w:style w:type="character" w:customStyle="1" w:styleId="20">
    <w:name w:val="UserStyle_4"/>
    <w:basedOn w:val="11"/>
    <w:qFormat/>
    <w:uiPriority w:val="0"/>
  </w:style>
  <w:style w:type="paragraph" w:customStyle="1" w:styleId="21">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2">
    <w:name w:val="页脚 Char"/>
    <w:basedOn w:val="8"/>
    <w:link w:val="4"/>
    <w:qFormat/>
    <w:uiPriority w:val="99"/>
    <w:rPr>
      <w:rFonts w:cstheme="minorBidi"/>
      <w:kern w:val="2"/>
      <w:sz w:val="18"/>
      <w:szCs w:val="18"/>
    </w:rPr>
  </w:style>
  <w:style w:type="paragraph" w:customStyle="1" w:styleId="23">
    <w:name w:val="Body text|2"/>
    <w:basedOn w:val="1"/>
    <w:qFormat/>
    <w:uiPriority w:val="0"/>
    <w:pPr>
      <w:spacing w:after="300"/>
      <w:ind w:firstLine="74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1</TotalTime>
  <ScaleCrop>false</ScaleCrop>
  <LinksUpToDate>false</LinksUpToDate>
  <CharactersWithSpaces>2054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丘丘</cp:lastModifiedBy>
  <cp:lastPrinted>2021-02-26T02:55:00Z</cp:lastPrinted>
  <dcterms:modified xsi:type="dcterms:W3CDTF">2022-01-08T06:18:32Z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8A60881FF8D040B7A6216973F4AB2651</vt:lpwstr>
  </property>
</Properties>
</file>