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600" w:lineRule="exact"/>
        <w:jc w:val="center"/>
        <w:rPr>
          <w:rStyle w:val="13"/>
          <w:rFonts w:ascii="黑体" w:eastAsia="黑体"/>
          <w:sz w:val="44"/>
          <w:szCs w:val="44"/>
        </w:rPr>
      </w:pPr>
      <w:r>
        <w:rPr>
          <w:rStyle w:val="11"/>
          <w:rFonts w:ascii="黑体" w:eastAsia="黑体" w:cs="宋体"/>
          <w:sz w:val="44"/>
          <w:szCs w:val="44"/>
        </w:rPr>
        <w:t>中国人民政治协商会议</w:t>
      </w:r>
    </w:p>
    <w:p>
      <w:pPr>
        <w:pStyle w:val="18"/>
        <w:spacing w:before="0" w:beforeAutospacing="0" w:after="0" w:afterAutospacing="0" w:line="600" w:lineRule="exact"/>
        <w:jc w:val="center"/>
        <w:rPr>
          <w:rStyle w:val="13"/>
          <w:rFonts w:hint="eastAsia"/>
          <w:sz w:val="44"/>
          <w:szCs w:val="44"/>
        </w:rPr>
      </w:pPr>
      <w:r>
        <w:rPr>
          <w:rStyle w:val="13"/>
          <w:sz w:val="44"/>
          <w:szCs w:val="44"/>
        </w:rPr>
        <w:t>黔东南苗族侗族自治州委员会</w:t>
      </w:r>
    </w:p>
    <w:p>
      <w:pPr>
        <w:pStyle w:val="18"/>
        <w:spacing w:before="0" w:beforeAutospacing="0" w:after="0" w:afterAutospacing="0" w:line="600" w:lineRule="exact"/>
        <w:jc w:val="center"/>
        <w:rPr>
          <w:rStyle w:val="13"/>
          <w:rFonts w:hint="eastAsia"/>
          <w:sz w:val="44"/>
          <w:szCs w:val="44"/>
        </w:rPr>
      </w:pPr>
      <w:r>
        <w:rPr>
          <w:rStyle w:val="13"/>
          <w:sz w:val="44"/>
          <w:szCs w:val="44"/>
        </w:rPr>
        <w:t>提</w:t>
      </w:r>
      <w:r>
        <w:rPr>
          <w:rStyle w:val="13"/>
          <w:rFonts w:hint="eastAsia"/>
          <w:sz w:val="44"/>
          <w:szCs w:val="44"/>
        </w:rPr>
        <w:t xml:space="preserve">   </w:t>
      </w:r>
      <w:r>
        <w:rPr>
          <w:rStyle w:val="13"/>
          <w:sz w:val="44"/>
          <w:szCs w:val="44"/>
        </w:rPr>
        <w:t>案</w:t>
      </w:r>
    </w:p>
    <w:p>
      <w:pPr>
        <w:spacing w:line="320" w:lineRule="exact"/>
        <w:jc w:val="center"/>
        <w:textAlignment w:val="top"/>
        <w:rPr>
          <w:rStyle w:val="13"/>
          <w:rFonts w:hint="eastAsia" w:ascii="宋体" w:hAnsi="宋体"/>
          <w:kern w:val="0"/>
          <w:sz w:val="24"/>
        </w:rPr>
      </w:pPr>
    </w:p>
    <w:p>
      <w:pPr>
        <w:spacing w:line="320" w:lineRule="exact"/>
        <w:jc w:val="center"/>
        <w:textAlignment w:val="top"/>
        <w:rPr>
          <w:rStyle w:val="13"/>
          <w:rFonts w:hint="eastAsia" w:ascii="宋体" w:hAnsi="宋体"/>
          <w:kern w:val="0"/>
          <w:sz w:val="24"/>
        </w:rPr>
      </w:pPr>
    </w:p>
    <w:p>
      <w:pPr>
        <w:spacing w:line="760" w:lineRule="exact"/>
        <w:jc w:val="both"/>
        <w:textAlignment w:val="top"/>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3"/>
          <w:rFonts w:hint="default" w:ascii="宋体" w:hAnsi="宋体" w:eastAsia="宋体"/>
          <w:kern w:val="0"/>
          <w:sz w:val="24"/>
          <w:lang w:val="en-US" w:eastAsia="zh-CN"/>
        </w:rPr>
      </w:pPr>
      <w:r>
        <w:rPr>
          <w:rStyle w:val="13"/>
          <w:rFonts w:ascii="宋体" w:hAnsi="宋体"/>
          <w:kern w:val="0"/>
          <w:sz w:val="24"/>
        </w:rPr>
        <w:t>第十</w:t>
      </w:r>
      <w:r>
        <w:rPr>
          <w:rStyle w:val="13"/>
          <w:rFonts w:hint="eastAsia" w:ascii="宋体" w:hAnsi="宋体"/>
          <w:kern w:val="0"/>
          <w:sz w:val="24"/>
          <w:lang w:val="en-US" w:eastAsia="zh-CN"/>
        </w:rPr>
        <w:t>三</w:t>
      </w:r>
      <w:r>
        <w:rPr>
          <w:rStyle w:val="13"/>
          <w:rFonts w:ascii="宋体" w:hAnsi="宋体"/>
          <w:kern w:val="0"/>
          <w:sz w:val="24"/>
        </w:rPr>
        <w:t>届第</w:t>
      </w:r>
      <w:r>
        <w:rPr>
          <w:rStyle w:val="13"/>
          <w:rFonts w:hint="eastAsia" w:ascii="宋体" w:hAnsi="宋体"/>
          <w:kern w:val="0"/>
          <w:sz w:val="24"/>
          <w:lang w:val="en-US" w:eastAsia="zh-CN"/>
        </w:rPr>
        <w:t>一</w:t>
      </w:r>
      <w:r>
        <w:rPr>
          <w:rStyle w:val="13"/>
          <w:rFonts w:ascii="宋体" w:hAnsi="宋体"/>
          <w:kern w:val="0"/>
          <w:sz w:val="24"/>
        </w:rPr>
        <w:t>次会议　       　第</w:t>
      </w:r>
      <w:r>
        <w:rPr>
          <w:rStyle w:val="13"/>
          <w:rFonts w:hint="eastAsia" w:ascii="宋体" w:hAnsi="宋体"/>
          <w:kern w:val="0"/>
          <w:sz w:val="24"/>
          <w:lang w:val="en-US" w:eastAsia="zh-CN"/>
        </w:rPr>
        <w:t>177</w:t>
      </w:r>
      <w:r>
        <w:rPr>
          <w:rStyle w:val="13"/>
          <w:rFonts w:ascii="宋体" w:hAnsi="宋体"/>
          <w:kern w:val="0"/>
          <w:sz w:val="24"/>
        </w:rPr>
        <w:t xml:space="preserve">号　    </w:t>
      </w:r>
      <w:r>
        <w:rPr>
          <w:rStyle w:val="13"/>
          <w:rFonts w:hint="eastAsia" w:ascii="宋体" w:hAnsi="宋体"/>
          <w:kern w:val="0"/>
          <w:sz w:val="24"/>
        </w:rPr>
        <w:t xml:space="preserve">    </w:t>
      </w:r>
      <w:r>
        <w:rPr>
          <w:rStyle w:val="13"/>
          <w:rFonts w:hint="eastAsia" w:ascii="宋体" w:hAnsi="宋体"/>
          <w:kern w:val="0"/>
          <w:sz w:val="24"/>
          <w:lang w:val="en-US" w:eastAsia="zh-CN"/>
        </w:rPr>
        <w:t xml:space="preserve"> 类别：经济建设类     </w:t>
      </w:r>
    </w:p>
    <w:p>
      <w:pPr>
        <w:spacing w:line="320" w:lineRule="exact"/>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9"/>
        <w:tblW w:w="8550" w:type="dxa"/>
        <w:tblInd w:w="0" w:type="dxa"/>
        <w:tblLayout w:type="fixed"/>
        <w:tblCellMar>
          <w:top w:w="0" w:type="dxa"/>
          <w:left w:w="15" w:type="dxa"/>
          <w:bottom w:w="0" w:type="dxa"/>
          <w:right w:w="15" w:type="dxa"/>
        </w:tblCellMar>
      </w:tblPr>
      <w:tblGrid>
        <w:gridCol w:w="1753"/>
        <w:gridCol w:w="3872"/>
        <w:gridCol w:w="1440"/>
        <w:gridCol w:w="1485"/>
      </w:tblGrid>
      <w:tr>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案</w:t>
            </w:r>
            <w:r>
              <w:rPr>
                <w:rStyle w:val="13"/>
                <w:rFonts w:ascii="宋体" w:hAnsi="宋体" w:eastAsia="黑体" w:cs="宋体"/>
                <w:b/>
                <w:bCs/>
                <w:kern w:val="0"/>
                <w:sz w:val="24"/>
              </w:rPr>
              <w:t>  </w:t>
            </w:r>
            <w:r>
              <w:rPr>
                <w:rStyle w:val="13"/>
                <w:rFonts w:ascii="黑体" w:hAnsi="宋体" w:eastAsia="黑体" w:cs="宋体"/>
                <w:b/>
                <w:bCs/>
                <w:kern w:val="0"/>
                <w:sz w:val="24"/>
              </w:rPr>
              <w:t>由</w:t>
            </w:r>
            <w:r>
              <w:rPr>
                <w:rStyle w:val="13"/>
                <w:rFonts w:ascii="宋体" w:hAnsi="宋体" w:cs="宋体"/>
                <w:b/>
                <w:bCs/>
                <w:kern w:val="0"/>
                <w:sz w:val="24"/>
              </w:rPr>
              <w:t>：</w:t>
            </w:r>
          </w:p>
        </w:tc>
        <w:tc>
          <w:tcPr>
            <w:tcW w:w="6797" w:type="dxa"/>
            <w:gridSpan w:val="3"/>
            <w:vAlign w:val="center"/>
          </w:tcPr>
          <w:p>
            <w:pPr>
              <w:jc w:val="left"/>
              <w:rPr>
                <w:rStyle w:val="13"/>
                <w:rFonts w:ascii="宋体" w:hAnsi="宋体" w:cs="宋体"/>
                <w:b/>
                <w:bCs/>
                <w:kern w:val="0"/>
                <w:sz w:val="24"/>
              </w:rPr>
            </w:pPr>
            <w:r>
              <w:rPr>
                <w:rStyle w:val="13"/>
                <w:rFonts w:hint="eastAsia" w:ascii="宋体" w:hAnsi="宋体" w:cs="宋体"/>
                <w:b/>
                <w:bCs/>
                <w:kern w:val="0"/>
                <w:sz w:val="24"/>
              </w:rPr>
              <w:t>关于开工建设青溪经三穗至镇远快速通道的建议</w:t>
            </w:r>
            <w:bookmarkStart w:id="0" w:name="_GoBack"/>
            <w:bookmarkEnd w:id="0"/>
          </w:p>
        </w:tc>
      </w:tr>
      <w:tr>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审查意见</w:t>
            </w:r>
            <w:r>
              <w:rPr>
                <w:rStyle w:val="13"/>
                <w:rFonts w:ascii="宋体" w:hAnsi="宋体" w:cs="宋体"/>
                <w:b/>
                <w:bCs/>
                <w:kern w:val="0"/>
                <w:sz w:val="24"/>
              </w:rPr>
              <w:t>：</w:t>
            </w:r>
          </w:p>
        </w:tc>
        <w:tc>
          <w:tcPr>
            <w:tcW w:w="6797" w:type="dxa"/>
            <w:gridSpan w:val="3"/>
            <w:vAlign w:val="center"/>
          </w:tcPr>
          <w:p>
            <w:pPr>
              <w:jc w:val="left"/>
              <w:rPr>
                <w:rStyle w:val="13"/>
                <w:rFonts w:hint="default" w:ascii="宋体" w:hAnsi="宋体"/>
                <w:kern w:val="0"/>
                <w:sz w:val="24"/>
                <w:lang w:val="en-US" w:eastAsia="zh-CN"/>
              </w:rPr>
            </w:pPr>
            <w:r>
              <w:rPr>
                <w:rStyle w:val="13"/>
                <w:rFonts w:hint="eastAsia" w:ascii="宋体" w:hAnsi="宋体"/>
                <w:kern w:val="0"/>
                <w:sz w:val="24"/>
                <w:lang w:eastAsia="zh-CN"/>
              </w:rPr>
              <w:t>主办：州交通运输局</w:t>
            </w:r>
            <w:r>
              <w:rPr>
                <w:rStyle w:val="13"/>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3"/>
                <w:rFonts w:ascii="黑体" w:hAnsi="宋体" w:eastAsia="黑体"/>
                <w:kern w:val="0"/>
                <w:sz w:val="24"/>
              </w:rPr>
            </w:pPr>
            <w:r>
              <w:rPr>
                <w:rStyle w:val="13"/>
                <w:rFonts w:ascii="黑体" w:hAnsi="宋体" w:eastAsia="黑体" w:cs="宋体"/>
                <w:b/>
                <w:bCs/>
                <w:kern w:val="0"/>
                <w:sz w:val="24"/>
              </w:rPr>
              <w:t>提</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案</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人</w:t>
            </w:r>
            <w:r>
              <w:rPr>
                <w:rStyle w:val="13"/>
                <w:rFonts w:ascii="宋体" w:hAnsi="宋体" w:eastAsia="黑体" w:cs="宋体"/>
                <w:b/>
                <w:bCs/>
                <w:kern w:val="0"/>
                <w:sz w:val="24"/>
              </w:rPr>
              <w:t>：</w:t>
            </w:r>
          </w:p>
        </w:tc>
        <w:tc>
          <w:tcPr>
            <w:tcW w:w="3872" w:type="dxa"/>
            <w:vAlign w:val="center"/>
          </w:tcPr>
          <w:p>
            <w:pPr>
              <w:jc w:val="left"/>
              <w:rPr>
                <w:rStyle w:val="13"/>
                <w:rFonts w:ascii="宋体" w:hAnsi="宋体"/>
                <w:kern w:val="0"/>
                <w:sz w:val="24"/>
              </w:rPr>
            </w:pPr>
            <w:r>
              <w:rPr>
                <w:rStyle w:val="13"/>
                <w:rFonts w:ascii="宋体" w:hAnsi="宋体" w:cs="宋体"/>
                <w:b/>
                <w:bCs/>
                <w:kern w:val="0"/>
                <w:sz w:val="24"/>
              </w:rPr>
              <w:t>通讯地址</w:t>
            </w:r>
          </w:p>
        </w:tc>
        <w:tc>
          <w:tcPr>
            <w:tcW w:w="1440" w:type="dxa"/>
            <w:vAlign w:val="center"/>
          </w:tcPr>
          <w:p>
            <w:pPr>
              <w:jc w:val="left"/>
              <w:rPr>
                <w:rStyle w:val="13"/>
                <w:rFonts w:ascii="宋体" w:hAnsi="宋体"/>
                <w:kern w:val="0"/>
                <w:sz w:val="24"/>
              </w:rPr>
            </w:pPr>
            <w:r>
              <w:rPr>
                <w:rStyle w:val="13"/>
                <w:rFonts w:ascii="宋体" w:hAnsi="宋体" w:cs="宋体"/>
                <w:b/>
                <w:bCs/>
                <w:kern w:val="0"/>
                <w:sz w:val="24"/>
              </w:rPr>
              <w:t>邮政编码</w:t>
            </w:r>
          </w:p>
        </w:tc>
        <w:tc>
          <w:tcPr>
            <w:tcW w:w="1485" w:type="dxa"/>
            <w:vAlign w:val="center"/>
          </w:tcPr>
          <w:p>
            <w:pPr>
              <w:jc w:val="left"/>
              <w:rPr>
                <w:rStyle w:val="13"/>
                <w:rFonts w:ascii="宋体" w:hAnsi="宋体"/>
                <w:kern w:val="0"/>
                <w:sz w:val="24"/>
              </w:rPr>
            </w:pPr>
            <w:r>
              <w:rPr>
                <w:rStyle w:val="13"/>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4"/>
              <w:ind w:left="0" w:leftChars="0" w:firstLine="0" w:firstLineChars="0"/>
              <w:rPr>
                <w:rFonts w:hint="eastAsia" w:eastAsia="宋体"/>
                <w:lang w:eastAsia="zh-CN"/>
              </w:rPr>
            </w:pPr>
            <w:r>
              <w:rPr>
                <w:rFonts w:hint="eastAsia"/>
              </w:rPr>
              <w:t>肖成宪</w:t>
            </w:r>
          </w:p>
        </w:tc>
        <w:tc>
          <w:tcPr>
            <w:tcW w:w="3872" w:type="dxa"/>
            <w:vAlign w:val="center"/>
          </w:tcPr>
          <w:p>
            <w:pPr>
              <w:jc w:val="left"/>
              <w:rPr>
                <w:rStyle w:val="13"/>
                <w:rFonts w:hint="eastAsia" w:ascii="宋体" w:hAnsi="宋体" w:eastAsia="宋体"/>
                <w:kern w:val="0"/>
                <w:sz w:val="24"/>
                <w:lang w:val="en-US" w:eastAsia="zh-CN"/>
              </w:rPr>
            </w:pPr>
            <w:r>
              <w:rPr>
                <w:rFonts w:hint="eastAsia"/>
              </w:rPr>
              <w:t>镇远县人大</w:t>
            </w:r>
          </w:p>
        </w:tc>
        <w:tc>
          <w:tcPr>
            <w:tcW w:w="1440" w:type="dxa"/>
            <w:vAlign w:val="center"/>
          </w:tcPr>
          <w:p>
            <w:pPr>
              <w:jc w:val="left"/>
              <w:rPr>
                <w:rStyle w:val="13"/>
                <w:rFonts w:hint="default" w:ascii="宋体" w:hAnsi="宋体" w:eastAsia="宋体"/>
                <w:kern w:val="0"/>
                <w:sz w:val="24"/>
                <w:lang w:val="en-US" w:eastAsia="zh-CN"/>
              </w:rPr>
            </w:pPr>
            <w:r>
              <w:rPr>
                <w:rStyle w:val="13"/>
                <w:rFonts w:hint="eastAsia" w:ascii="宋体" w:hAnsi="宋体"/>
                <w:kern w:val="0"/>
                <w:sz w:val="24"/>
                <w:lang w:val="en-US" w:eastAsia="zh-CN"/>
              </w:rPr>
              <w:t>557700</w:t>
            </w:r>
          </w:p>
        </w:tc>
        <w:tc>
          <w:tcPr>
            <w:tcW w:w="1485" w:type="dxa"/>
            <w:vAlign w:val="center"/>
          </w:tcPr>
          <w:p>
            <w:pPr>
              <w:jc w:val="left"/>
              <w:rPr>
                <w:rFonts w:hint="default"/>
                <w:lang w:val="en-US" w:eastAsia="zh-CN"/>
              </w:rPr>
            </w:pPr>
            <w:r>
              <w:rPr>
                <w:rFonts w:hint="eastAsia"/>
              </w:rPr>
              <w:t>13765576408</w:t>
            </w:r>
          </w:p>
        </w:tc>
      </w:tr>
      <w:tr>
        <w:tblPrEx>
          <w:tblCellMar>
            <w:top w:w="0" w:type="dxa"/>
            <w:left w:w="15" w:type="dxa"/>
            <w:bottom w:w="0" w:type="dxa"/>
            <w:right w:w="15" w:type="dxa"/>
          </w:tblCellMar>
        </w:tblPrEx>
        <w:tc>
          <w:tcPr>
            <w:tcW w:w="1753" w:type="dxa"/>
            <w:vAlign w:val="center"/>
          </w:tcPr>
          <w:p>
            <w:pPr>
              <w:jc w:val="left"/>
              <w:rPr>
                <w:rStyle w:val="13"/>
                <w:rFonts w:hint="eastAsia" w:ascii="宋体" w:hAnsi="宋体" w:eastAsia="宋体"/>
                <w:kern w:val="0"/>
                <w:sz w:val="24"/>
                <w:lang w:eastAsia="zh-CN"/>
              </w:rPr>
            </w:pPr>
            <w:r>
              <w:rPr>
                <w:rStyle w:val="13"/>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3"/>
                <w:rFonts w:hint="eastAsia" w:ascii="宋体" w:hAnsi="宋体"/>
                <w:kern w:val="0"/>
                <w:sz w:val="24"/>
                <w:lang w:val="en-US" w:eastAsia="zh-CN"/>
              </w:rPr>
            </w:pPr>
            <w:r>
              <w:rPr>
                <w:rStyle w:val="13"/>
                <w:rFonts w:hint="eastAsia" w:ascii="宋体" w:hAnsi="宋体"/>
                <w:kern w:val="0"/>
                <w:sz w:val="24"/>
                <w:lang w:eastAsia="zh-CN"/>
              </w:rPr>
              <w:t>州委办秘书五科：</w:t>
            </w:r>
            <w:r>
              <w:rPr>
                <w:rStyle w:val="13"/>
                <w:rFonts w:hint="eastAsia" w:ascii="宋体" w:hAnsi="宋体"/>
                <w:kern w:val="0"/>
                <w:sz w:val="24"/>
                <w:lang w:val="en-US" w:eastAsia="zh-CN"/>
              </w:rPr>
              <w:t>8270060；</w:t>
            </w:r>
            <w:r>
              <w:rPr>
                <w:rStyle w:val="13"/>
                <w:rFonts w:hint="eastAsia" w:ascii="宋体" w:hAnsi="宋体"/>
                <w:kern w:val="0"/>
                <w:sz w:val="24"/>
                <w:lang w:eastAsia="zh-CN"/>
              </w:rPr>
              <w:t>州政府办建议提案科：</w:t>
            </w:r>
            <w:r>
              <w:rPr>
                <w:rStyle w:val="13"/>
                <w:rFonts w:hint="eastAsia" w:ascii="宋体" w:hAnsi="宋体"/>
                <w:kern w:val="0"/>
                <w:sz w:val="24"/>
                <w:lang w:val="en-US" w:eastAsia="zh-CN"/>
              </w:rPr>
              <w:t>8260016；</w:t>
            </w:r>
          </w:p>
          <w:p>
            <w:pPr>
              <w:jc w:val="left"/>
              <w:rPr>
                <w:rStyle w:val="13"/>
                <w:rFonts w:hint="default" w:ascii="宋体" w:hAnsi="宋体"/>
                <w:kern w:val="0"/>
                <w:sz w:val="24"/>
                <w:lang w:val="en-US"/>
              </w:rPr>
            </w:pPr>
            <w:r>
              <w:rPr>
                <w:rStyle w:val="13"/>
                <w:rFonts w:hint="eastAsia" w:ascii="宋体" w:hAnsi="宋体"/>
                <w:kern w:val="0"/>
                <w:sz w:val="24"/>
                <w:lang w:eastAsia="zh-CN"/>
              </w:rPr>
              <w:t>州政协提案委：</w:t>
            </w:r>
            <w:r>
              <w:rPr>
                <w:rStyle w:val="13"/>
                <w:rFonts w:hint="eastAsia" w:ascii="宋体" w:hAnsi="宋体"/>
                <w:kern w:val="0"/>
                <w:sz w:val="24"/>
                <w:lang w:val="en-US" w:eastAsia="zh-CN"/>
              </w:rPr>
              <w:t>8428866</w:t>
            </w:r>
            <w:r>
              <w:rPr>
                <w:rStyle w:val="13"/>
                <w:rFonts w:hint="eastAsia" w:ascii="宋体" w:hAnsi="宋体"/>
                <w:kern w:val="0"/>
                <w:sz w:val="24"/>
                <w:lang w:eastAsia="zh-CN"/>
              </w:rPr>
              <w:t>。</w:t>
            </w:r>
          </w:p>
        </w:tc>
      </w:tr>
    </w:tbl>
    <w:p>
      <w:pPr>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内容和办法</w:t>
      </w:r>
      <w:r>
        <w:rPr>
          <w:rStyle w:val="13"/>
          <w:rFonts w:hint="eastAsia" w:ascii="仿宋_GB2312" w:hAnsi="宋体" w:eastAsia="仿宋_GB2312"/>
          <w:kern w:val="0"/>
          <w:sz w:val="32"/>
          <w:szCs w:val="32"/>
          <w:lang w:eastAsia="zh-CN"/>
        </w:rPr>
        <w:t>：</w:t>
      </w:r>
    </w:p>
    <w:p>
      <w:pPr>
        <w:pStyle w:val="2"/>
        <w:spacing w:after="0" w:line="560" w:lineRule="exact"/>
        <w:ind w:left="0" w:leftChars="0" w:firstLine="640"/>
        <w:rPr>
          <w:rFonts w:hint="eastAsia" w:ascii="仿宋_GB2312" w:eastAsia="仿宋_GB2312"/>
          <w:sz w:val="32"/>
          <w:szCs w:val="32"/>
        </w:rPr>
      </w:pPr>
      <w:r>
        <w:rPr>
          <w:rFonts w:hint="eastAsia" w:ascii="仿宋_GB2312" w:eastAsia="仿宋_GB2312"/>
          <w:sz w:val="32"/>
          <w:szCs w:val="32"/>
        </w:rPr>
        <w:t>青溪经三穗至镇远快速通道起点与青溪至岑巩快速通道相连，途经三穗县县城，止于镇远县县城东关上。该快速通道全长68.8公里，项目总投资74.86亿元，其中青溪至三穗段35.4公里尚处规划设计阶段，三穗至镇远段34.379公里已于2017年开工建设，受投融资政策调控的影响，造成该项目因后续建设资金到位困难，导致三镇快速通道于2019年1月全面停工，三镇快速通道项目总投资约22.5亿元，停工前已累计资金4.7亿元，其中建安工程完成2.99亿元，征地拆迁完成1.49亿元，其他费用0.22亿元。建安工程路基土石方完成213万方，占比31%；桥梁桩基完成134根，占比23%；隧道洞身开挖及支护完成749m，占比60%；仰拱浇筑完成602m，占比53%；二衬及防排水完成397m，占比70%；其中，界牌溪隧道已经双幅贯通。红线用地征拆完成97%，临时用地完成88%</w:t>
      </w:r>
      <w:r>
        <w:rPr>
          <w:rFonts w:hint="eastAsia" w:ascii="仿宋_GB2312" w:eastAsia="仿宋_GB2312"/>
          <w:sz w:val="32"/>
          <w:szCs w:val="32"/>
          <w:lang w:eastAsia="zh-CN"/>
        </w:rPr>
        <w:t>；</w:t>
      </w:r>
      <w:r>
        <w:rPr>
          <w:rFonts w:hint="eastAsia" w:ascii="仿宋_GB2312" w:eastAsia="仿宋_GB2312"/>
          <w:sz w:val="32"/>
          <w:szCs w:val="32"/>
        </w:rPr>
        <w:t>涉拆房屋基本丈量完成（大部分未兑付）。坟墓拆迁基本完成，三线拆改完成70%。</w:t>
      </w:r>
    </w:p>
    <w:p>
      <w:pPr>
        <w:pStyle w:val="2"/>
        <w:spacing w:after="0" w:line="560" w:lineRule="exact"/>
        <w:ind w:left="0" w:leftChars="0" w:firstLine="640"/>
        <w:rPr>
          <w:rFonts w:hint="eastAsia" w:ascii="方正黑体简体" w:eastAsia="方正黑体简体"/>
          <w:sz w:val="32"/>
          <w:szCs w:val="32"/>
        </w:rPr>
      </w:pPr>
      <w:r>
        <w:rPr>
          <w:rFonts w:hint="eastAsia" w:ascii="方正黑体简体" w:eastAsia="方正黑体简体"/>
          <w:sz w:val="32"/>
          <w:szCs w:val="32"/>
        </w:rPr>
        <w:t>项目建设的必要性</w:t>
      </w:r>
    </w:p>
    <w:p>
      <w:pPr>
        <w:pStyle w:val="2"/>
        <w:spacing w:after="0" w:line="560" w:lineRule="exact"/>
        <w:ind w:left="0" w:leftChars="0" w:firstLine="640"/>
        <w:rPr>
          <w:rFonts w:ascii="仿宋_GB2312" w:eastAsia="仿宋_GB2312"/>
          <w:sz w:val="32"/>
          <w:szCs w:val="32"/>
        </w:rPr>
      </w:pPr>
      <w:r>
        <w:rPr>
          <w:rFonts w:hint="eastAsia" w:ascii="仿宋_GB2312" w:eastAsia="仿宋_GB2312"/>
          <w:sz w:val="32"/>
          <w:szCs w:val="32"/>
        </w:rPr>
        <w:t>一是青溪经三穗至镇远快速通道将把岑巩、三穗、镇远三县有机高效的串连起来，符合州委、州政府推进镇远、三穗、岑巩同城化发展打造东部区域城镇组群的发展思路，便利三地之间的客货运输，有助于三县在经济、社会发展中优势互补、各取所需，为三地的同城化发展打下坚实的基础。二是快速通道途经三穗高铁站，实现了高铁客运与公路客运的无缝对接，让该高铁站的客员出行更加便捷、高效，进出该高铁站的客员将会成倍增长，不断凸显三穗县的区位交通优势；三是有利于镇远古城景区做大、做强、做精，镇远古城景区是我州当前唯一的5A级景区，知名度高，发展潜力大，青溪经三穗至镇远快速通道的建设，给沪昆高速、沪昆高铁等国家主要交通干线的游客入境镇远古城提供了一条距离最短、通行成本最低的、耗时最少的便捷通道，让镇远古城的旅游发展不再受到交通的困扰，游客量及</w:t>
      </w:r>
      <w:r>
        <w:rPr>
          <w:rFonts w:hint="eastAsia" w:ascii="仿宋_GB2312" w:eastAsia="仿宋_GB2312"/>
          <w:sz w:val="32"/>
          <w:szCs w:val="32"/>
          <w:lang w:eastAsia="zh-CN"/>
        </w:rPr>
        <w:t>关注</w:t>
      </w:r>
      <w:r>
        <w:rPr>
          <w:rFonts w:hint="eastAsia" w:ascii="仿宋_GB2312" w:eastAsia="仿宋_GB2312"/>
          <w:sz w:val="32"/>
          <w:szCs w:val="32"/>
        </w:rPr>
        <w:t>度等也会大幅增长；四是青溪经三穗至镇远快速通道建设的经济、社会效益明显，其投资的有效性经得起长期检验，还可在短期内形成数量可观的实物量，对冲经济下行对地方经济、社会发展的影响。</w:t>
      </w:r>
    </w:p>
    <w:p>
      <w:pPr>
        <w:pStyle w:val="2"/>
        <w:spacing w:after="0" w:line="560" w:lineRule="exact"/>
        <w:ind w:left="0" w:leftChars="0" w:firstLine="64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left"/>
        <w:rPr>
          <w:rFonts w:hint="eastAsia" w:ascii="仿宋" w:hAnsi="仿宋" w:eastAsia="仿宋" w:cs="仿宋"/>
          <w:color w:val="333333"/>
          <w:kern w:val="2"/>
          <w:sz w:val="32"/>
          <w:szCs w:val="32"/>
          <w:lang w:val="en-US" w:eastAsia="zh-CN" w:bidi="ar"/>
        </w:rPr>
      </w:pPr>
      <w:r>
        <w:rPr>
          <w:rFonts w:hint="eastAsia" w:ascii="仿宋_GB2312" w:eastAsia="仿宋_GB2312"/>
          <w:sz w:val="32"/>
          <w:szCs w:val="32"/>
        </w:rPr>
        <w:t>基于青溪经三穗至镇远快速通道建设可期的经济和社会效益，尽快将该通道纳入全州交通建设的重中之重，尽快办理完善该项目的前置要件，多渠道、多方式筹措项目建设资金，及时复工建设该通道的三穗至镇远段，为镇远、三穗、岑巩三县发展提供新的增长点。</w:t>
      </w: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3"/>
          <w:rFonts w:hint="eastAsia" w:ascii="黑体" w:hAnsi="黑体" w:eastAsia="黑体" w:cs="黑体"/>
          <w:b/>
          <w:bCs/>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3"/>
          <w:rFonts w:hint="eastAsia" w:ascii="仿宋" w:hAnsi="仿宋" w:eastAsia="仿宋" w:cs="仿宋"/>
          <w:kern w:val="0"/>
          <w:sz w:val="32"/>
          <w:szCs w:val="32"/>
          <w:lang w:val="en-US" w:eastAsia="zh-CN"/>
        </w:rPr>
      </w:pPr>
      <w:r>
        <w:rPr>
          <w:rStyle w:val="13"/>
          <w:rFonts w:hint="eastAsia" w:ascii="黑体" w:hAnsi="黑体" w:eastAsia="黑体" w:cs="黑体"/>
          <w:b/>
          <w:bCs/>
          <w:kern w:val="0"/>
          <w:sz w:val="32"/>
          <w:szCs w:val="32"/>
          <w:lang w:val="en-US" w:eastAsia="zh-CN"/>
        </w:rPr>
        <w:t>注：</w:t>
      </w:r>
      <w:r>
        <w:rPr>
          <w:rStyle w:val="13"/>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3"/>
          <w:rFonts w:hint="default"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0D1D0479"/>
    <w:rsid w:val="10B40BCC"/>
    <w:rsid w:val="118823F2"/>
    <w:rsid w:val="16F969DB"/>
    <w:rsid w:val="18EC1E64"/>
    <w:rsid w:val="1B913D76"/>
    <w:rsid w:val="1BAB45FA"/>
    <w:rsid w:val="1D124BB8"/>
    <w:rsid w:val="20E366FE"/>
    <w:rsid w:val="21EA0B57"/>
    <w:rsid w:val="23370767"/>
    <w:rsid w:val="280B3E99"/>
    <w:rsid w:val="29BB0497"/>
    <w:rsid w:val="29EB237C"/>
    <w:rsid w:val="2BDD0731"/>
    <w:rsid w:val="2FD84B80"/>
    <w:rsid w:val="30B878C9"/>
    <w:rsid w:val="32794BB9"/>
    <w:rsid w:val="33552650"/>
    <w:rsid w:val="35A1653F"/>
    <w:rsid w:val="367538F0"/>
    <w:rsid w:val="377737A4"/>
    <w:rsid w:val="38D60616"/>
    <w:rsid w:val="3A7B4D73"/>
    <w:rsid w:val="3E411AFD"/>
    <w:rsid w:val="3F1A5C90"/>
    <w:rsid w:val="42F10C9F"/>
    <w:rsid w:val="493508EE"/>
    <w:rsid w:val="497C7186"/>
    <w:rsid w:val="4A196944"/>
    <w:rsid w:val="4A6A10A6"/>
    <w:rsid w:val="4F1E6C2C"/>
    <w:rsid w:val="4F6B5D70"/>
    <w:rsid w:val="4FD75182"/>
    <w:rsid w:val="507F065A"/>
    <w:rsid w:val="5236789E"/>
    <w:rsid w:val="559F1A55"/>
    <w:rsid w:val="5A7C34BF"/>
    <w:rsid w:val="5AA17385"/>
    <w:rsid w:val="5B7C24C8"/>
    <w:rsid w:val="5C6B77F5"/>
    <w:rsid w:val="61895CCF"/>
    <w:rsid w:val="66F35DD9"/>
    <w:rsid w:val="67615A51"/>
    <w:rsid w:val="6854075C"/>
    <w:rsid w:val="69A37ABB"/>
    <w:rsid w:val="6A644AE2"/>
    <w:rsid w:val="6F5974BD"/>
    <w:rsid w:val="72DF1356"/>
    <w:rsid w:val="743C31A8"/>
    <w:rsid w:val="74620891"/>
    <w:rsid w:val="75FC7C1A"/>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rPr>
  </w:style>
  <w:style w:type="paragraph" w:styleId="4">
    <w:name w:val="table of authorities"/>
    <w:basedOn w:val="1"/>
    <w:next w:val="1"/>
    <w:qFormat/>
    <w:uiPriority w:val="0"/>
    <w:pPr>
      <w:ind w:left="420" w:leftChars="200"/>
    </w:pPr>
    <w:rPr>
      <w:szCs w:val="20"/>
    </w:rPr>
  </w:style>
  <w:style w:type="paragraph" w:styleId="5">
    <w:name w:val="footer"/>
    <w:basedOn w:val="1"/>
    <w:link w:val="24"/>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Autospacing="1" w:afterAutospacing="1"/>
      <w:jc w:val="left"/>
    </w:pPr>
    <w:rPr>
      <w:kern w:val="0"/>
      <w:sz w:val="24"/>
    </w:rPr>
  </w:style>
  <w:style w:type="character" w:styleId="11">
    <w:name w:val="Strong"/>
    <w:qFormat/>
    <w:uiPriority w:val="0"/>
    <w:rPr>
      <w:rFonts w:cs="Times New Roman"/>
      <w:b/>
      <w:bCs/>
    </w:rPr>
  </w:style>
  <w:style w:type="character" w:styleId="12">
    <w:name w:val="Hyperlink"/>
    <w:basedOn w:val="13"/>
    <w:semiHidden/>
    <w:qFormat/>
    <w:uiPriority w:val="0"/>
    <w:rPr>
      <w:color w:val="0000FF"/>
      <w:u w:val="single"/>
    </w:rPr>
  </w:style>
  <w:style w:type="character" w:customStyle="1" w:styleId="13">
    <w:name w:val="NormalCharacter"/>
    <w:semiHidden/>
    <w:qFormat/>
    <w:uiPriority w:val="0"/>
  </w:style>
  <w:style w:type="paragraph" w:customStyle="1" w:styleId="14">
    <w:name w:val="正文-公1"/>
    <w:basedOn w:val="1"/>
    <w:qFormat/>
    <w:uiPriority w:val="99"/>
    <w:pPr>
      <w:ind w:firstLine="200" w:firstLineChars="200"/>
    </w:pPr>
    <w:rPr>
      <w:rFonts w:ascii="Calibri" w:hAnsi="Calibri"/>
    </w:rPr>
  </w:style>
  <w:style w:type="paragraph" w:customStyle="1" w:styleId="15">
    <w:name w:val="Heading1"/>
    <w:basedOn w:val="1"/>
    <w:link w:val="21"/>
    <w:qFormat/>
    <w:uiPriority w:val="0"/>
    <w:pPr>
      <w:spacing w:before="100" w:beforeAutospacing="1" w:after="100" w:afterAutospacing="1"/>
      <w:jc w:val="left"/>
    </w:pPr>
    <w:rPr>
      <w:rFonts w:ascii="宋体" w:hAnsi="宋体" w:cs="宋体"/>
      <w:b/>
      <w:bCs/>
      <w:kern w:val="36"/>
      <w:sz w:val="48"/>
      <w:szCs w:val="48"/>
    </w:rPr>
  </w:style>
  <w:style w:type="table" w:customStyle="1" w:styleId="16">
    <w:name w:val="TableNormal"/>
    <w:semiHidden/>
    <w:qFormat/>
    <w:uiPriority w:val="0"/>
    <w:tblPr>
      <w:tblCellMar>
        <w:top w:w="0" w:type="dxa"/>
        <w:left w:w="0" w:type="dxa"/>
        <w:bottom w:w="0" w:type="dxa"/>
        <w:right w:w="0" w:type="dxa"/>
      </w:tblCellMar>
    </w:tblPr>
  </w:style>
  <w:style w:type="paragraph" w:customStyle="1" w:styleId="17">
    <w:name w:val="Acetate"/>
    <w:basedOn w:val="1"/>
    <w:qFormat/>
    <w:uiPriority w:val="0"/>
    <w:rPr>
      <w:sz w:val="18"/>
      <w:szCs w:val="18"/>
    </w:rPr>
  </w:style>
  <w:style w:type="paragraph" w:customStyle="1" w:styleId="18">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9">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0">
    <w:name w:val="UserStyle_2"/>
    <w:basedOn w:val="1"/>
    <w:qFormat/>
    <w:uiPriority w:val="0"/>
    <w:pPr>
      <w:spacing w:before="100" w:beforeAutospacing="1" w:after="100" w:afterAutospacing="1"/>
      <w:jc w:val="left"/>
    </w:pPr>
    <w:rPr>
      <w:rFonts w:ascii="宋体" w:hAnsi="宋体"/>
      <w:kern w:val="0"/>
      <w:sz w:val="24"/>
    </w:rPr>
  </w:style>
  <w:style w:type="character" w:customStyle="1" w:styleId="21">
    <w:name w:val="UserStyle_3"/>
    <w:basedOn w:val="13"/>
    <w:link w:val="15"/>
    <w:qFormat/>
    <w:uiPriority w:val="0"/>
    <w:rPr>
      <w:rFonts w:ascii="宋体" w:hAnsi="宋体" w:cs="宋体"/>
      <w:b/>
      <w:bCs/>
      <w:kern w:val="36"/>
      <w:sz w:val="48"/>
      <w:szCs w:val="48"/>
    </w:rPr>
  </w:style>
  <w:style w:type="character" w:customStyle="1" w:styleId="22">
    <w:name w:val="UserStyle_4"/>
    <w:basedOn w:val="13"/>
    <w:qFormat/>
    <w:uiPriority w:val="0"/>
  </w:style>
  <w:style w:type="paragraph" w:customStyle="1" w:styleId="23">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4">
    <w:name w:val="页脚 Char"/>
    <w:basedOn w:val="10"/>
    <w:link w:val="5"/>
    <w:qFormat/>
    <w:uiPriority w:val="99"/>
    <w:rPr>
      <w:rFonts w:cstheme="minorBidi"/>
      <w:kern w:val="2"/>
      <w:sz w:val="18"/>
      <w:szCs w:val="18"/>
    </w:rPr>
  </w:style>
  <w:style w:type="paragraph" w:customStyle="1" w:styleId="25">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6">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2022-01-07T09:11:27Z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8C2C749DC3C34613B0D3EFCF8EF10A51</vt:lpwstr>
  </property>
</Properties>
</file>