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before="0" w:beforeAutospacing="0" w:after="0" w:afterAutospacing="0" w:line="600" w:lineRule="exact"/>
        <w:jc w:val="center"/>
        <w:rPr>
          <w:rStyle w:val="19"/>
          <w:rFonts w:ascii="黑体" w:eastAsia="黑体"/>
          <w:sz w:val="44"/>
          <w:szCs w:val="44"/>
        </w:rPr>
      </w:pPr>
      <w:r>
        <w:rPr>
          <w:rStyle w:val="17"/>
          <w:rFonts w:ascii="黑体" w:eastAsia="黑体" w:cs="宋体"/>
          <w:sz w:val="44"/>
          <w:szCs w:val="44"/>
        </w:rPr>
        <w:t>中国人民政治协商会议</w:t>
      </w:r>
    </w:p>
    <w:p>
      <w:pPr>
        <w:pStyle w:val="23"/>
        <w:spacing w:before="0" w:beforeAutospacing="0" w:after="0" w:afterAutospacing="0" w:line="600" w:lineRule="exact"/>
        <w:jc w:val="center"/>
        <w:rPr>
          <w:rStyle w:val="19"/>
          <w:rFonts w:hint="eastAsia"/>
          <w:sz w:val="44"/>
          <w:szCs w:val="44"/>
        </w:rPr>
      </w:pPr>
      <w:r>
        <w:rPr>
          <w:rStyle w:val="19"/>
          <w:sz w:val="44"/>
          <w:szCs w:val="44"/>
        </w:rPr>
        <w:t>黔东南苗族侗族自治州委员会</w:t>
      </w:r>
    </w:p>
    <w:p>
      <w:pPr>
        <w:pStyle w:val="23"/>
        <w:spacing w:before="0" w:beforeAutospacing="0" w:after="0" w:afterAutospacing="0" w:line="600" w:lineRule="exact"/>
        <w:jc w:val="center"/>
        <w:rPr>
          <w:rStyle w:val="19"/>
          <w:rFonts w:hint="eastAsia"/>
          <w:sz w:val="44"/>
          <w:szCs w:val="44"/>
        </w:rPr>
      </w:pPr>
      <w:r>
        <w:rPr>
          <w:rStyle w:val="19"/>
          <w:sz w:val="44"/>
          <w:szCs w:val="44"/>
        </w:rPr>
        <w:t>提</w:t>
      </w:r>
      <w:r>
        <w:rPr>
          <w:rStyle w:val="19"/>
          <w:rFonts w:hint="eastAsia"/>
          <w:sz w:val="44"/>
          <w:szCs w:val="44"/>
        </w:rPr>
        <w:t xml:space="preserve">   </w:t>
      </w:r>
      <w:r>
        <w:rPr>
          <w:rStyle w:val="19"/>
          <w:sz w:val="44"/>
          <w:szCs w:val="44"/>
        </w:rPr>
        <w:t>案</w:t>
      </w:r>
    </w:p>
    <w:p>
      <w:pPr>
        <w:spacing w:line="320" w:lineRule="exact"/>
        <w:jc w:val="center"/>
        <w:textAlignment w:val="top"/>
        <w:rPr>
          <w:rStyle w:val="19"/>
          <w:rFonts w:hint="eastAsia" w:ascii="宋体" w:hAnsi="宋体"/>
          <w:kern w:val="0"/>
          <w:sz w:val="24"/>
        </w:rPr>
      </w:pPr>
    </w:p>
    <w:p>
      <w:pPr>
        <w:spacing w:line="320" w:lineRule="exact"/>
        <w:jc w:val="center"/>
        <w:textAlignment w:val="top"/>
        <w:rPr>
          <w:rStyle w:val="19"/>
          <w:rFonts w:hint="eastAsia" w:ascii="宋体" w:hAnsi="宋体"/>
          <w:kern w:val="0"/>
          <w:sz w:val="24"/>
        </w:rPr>
      </w:pPr>
    </w:p>
    <w:p>
      <w:pPr>
        <w:spacing w:line="760" w:lineRule="exact"/>
        <w:jc w:val="both"/>
        <w:textAlignment w:val="top"/>
        <w:rPr>
          <w:rStyle w:val="19"/>
          <w:rFonts w:ascii="宋体" w:hAnsi="宋体"/>
          <w:kern w:val="0"/>
          <w:sz w:val="24"/>
        </w:rPr>
      </w:pPr>
      <w:r>
        <w:rPr>
          <w:rStyle w:val="19"/>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19"/>
          <w:rFonts w:hint="default" w:ascii="宋体" w:hAnsi="宋体" w:eastAsia="宋体"/>
          <w:kern w:val="0"/>
          <w:sz w:val="24"/>
          <w:lang w:val="en-US" w:eastAsia="zh-CN"/>
        </w:rPr>
      </w:pPr>
      <w:r>
        <w:rPr>
          <w:rStyle w:val="19"/>
          <w:rFonts w:ascii="宋体" w:hAnsi="宋体"/>
          <w:kern w:val="0"/>
          <w:sz w:val="24"/>
        </w:rPr>
        <w:t>第十</w:t>
      </w:r>
      <w:r>
        <w:rPr>
          <w:rStyle w:val="19"/>
          <w:rFonts w:hint="eastAsia" w:ascii="宋体" w:hAnsi="宋体"/>
          <w:kern w:val="0"/>
          <w:sz w:val="24"/>
          <w:lang w:val="en-US" w:eastAsia="zh-CN"/>
        </w:rPr>
        <w:t>三</w:t>
      </w:r>
      <w:r>
        <w:rPr>
          <w:rStyle w:val="19"/>
          <w:rFonts w:ascii="宋体" w:hAnsi="宋体"/>
          <w:kern w:val="0"/>
          <w:sz w:val="24"/>
        </w:rPr>
        <w:t>届第</w:t>
      </w:r>
      <w:r>
        <w:rPr>
          <w:rStyle w:val="19"/>
          <w:rFonts w:hint="eastAsia" w:ascii="宋体" w:hAnsi="宋体"/>
          <w:kern w:val="0"/>
          <w:sz w:val="24"/>
          <w:lang w:val="en-US" w:eastAsia="zh-CN"/>
        </w:rPr>
        <w:t>一</w:t>
      </w:r>
      <w:r>
        <w:rPr>
          <w:rStyle w:val="19"/>
          <w:rFonts w:ascii="宋体" w:hAnsi="宋体"/>
          <w:kern w:val="0"/>
          <w:sz w:val="24"/>
        </w:rPr>
        <w:t>次会议　       　第</w:t>
      </w:r>
      <w:r>
        <w:rPr>
          <w:rStyle w:val="19"/>
          <w:rFonts w:hint="eastAsia" w:ascii="宋体" w:hAnsi="宋体"/>
          <w:kern w:val="0"/>
          <w:sz w:val="24"/>
          <w:lang w:val="en-US" w:eastAsia="zh-CN"/>
        </w:rPr>
        <w:t>180</w:t>
      </w:r>
      <w:r>
        <w:rPr>
          <w:rStyle w:val="19"/>
          <w:rFonts w:ascii="宋体" w:hAnsi="宋体"/>
          <w:kern w:val="0"/>
          <w:sz w:val="24"/>
        </w:rPr>
        <w:t xml:space="preserve">号　    </w:t>
      </w:r>
      <w:r>
        <w:rPr>
          <w:rStyle w:val="19"/>
          <w:rFonts w:hint="eastAsia" w:ascii="宋体" w:hAnsi="宋体"/>
          <w:kern w:val="0"/>
          <w:sz w:val="24"/>
        </w:rPr>
        <w:t xml:space="preserve">    </w:t>
      </w:r>
      <w:r>
        <w:rPr>
          <w:rStyle w:val="19"/>
          <w:rFonts w:hint="eastAsia" w:ascii="宋体" w:hAnsi="宋体"/>
          <w:kern w:val="0"/>
          <w:sz w:val="24"/>
          <w:lang w:val="en-US" w:eastAsia="zh-CN"/>
        </w:rPr>
        <w:t xml:space="preserve"> 类别：社会建设类     </w:t>
      </w:r>
    </w:p>
    <w:p>
      <w:pPr>
        <w:spacing w:line="320" w:lineRule="exact"/>
        <w:jc w:val="left"/>
        <w:rPr>
          <w:rStyle w:val="19"/>
          <w:rFonts w:ascii="宋体" w:hAnsi="宋体"/>
          <w:kern w:val="0"/>
          <w:sz w:val="24"/>
        </w:rPr>
      </w:pPr>
      <w:r>
        <w:rPr>
          <w:rStyle w:val="19"/>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15"/>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19"/>
                <w:rFonts w:ascii="宋体" w:hAnsi="宋体"/>
                <w:kern w:val="0"/>
                <w:sz w:val="24"/>
              </w:rPr>
            </w:pPr>
            <w:r>
              <w:rPr>
                <w:rStyle w:val="19"/>
                <w:rFonts w:ascii="黑体" w:hAnsi="宋体" w:eastAsia="黑体" w:cs="宋体"/>
                <w:b/>
                <w:bCs/>
                <w:kern w:val="0"/>
                <w:sz w:val="24"/>
              </w:rPr>
              <w:t>案</w:t>
            </w:r>
            <w:r>
              <w:rPr>
                <w:rStyle w:val="19"/>
                <w:rFonts w:ascii="宋体" w:hAnsi="宋体" w:eastAsia="黑体" w:cs="宋体"/>
                <w:b/>
                <w:bCs/>
                <w:kern w:val="0"/>
                <w:sz w:val="24"/>
              </w:rPr>
              <w:t>  </w:t>
            </w:r>
            <w:r>
              <w:rPr>
                <w:rStyle w:val="19"/>
                <w:rFonts w:ascii="黑体" w:hAnsi="宋体" w:eastAsia="黑体" w:cs="宋体"/>
                <w:b/>
                <w:bCs/>
                <w:kern w:val="0"/>
                <w:sz w:val="24"/>
              </w:rPr>
              <w:t>由</w:t>
            </w:r>
            <w:r>
              <w:rPr>
                <w:rStyle w:val="19"/>
                <w:rFonts w:ascii="宋体" w:hAnsi="宋体" w:cs="宋体"/>
                <w:b/>
                <w:bCs/>
                <w:kern w:val="0"/>
                <w:sz w:val="24"/>
              </w:rPr>
              <w:t>：</w:t>
            </w:r>
          </w:p>
        </w:tc>
        <w:tc>
          <w:tcPr>
            <w:tcW w:w="6797" w:type="dxa"/>
            <w:gridSpan w:val="3"/>
            <w:vAlign w:val="center"/>
          </w:tcPr>
          <w:p>
            <w:pPr>
              <w:widowControl/>
              <w:spacing w:line="432" w:lineRule="atLeast"/>
              <w:jc w:val="left"/>
              <w:rPr>
                <w:rStyle w:val="19"/>
                <w:rFonts w:ascii="宋体" w:hAnsi="宋体" w:cs="宋体"/>
                <w:b/>
                <w:bCs/>
                <w:kern w:val="0"/>
                <w:sz w:val="24"/>
              </w:rPr>
            </w:pPr>
            <w:r>
              <w:rPr>
                <w:rFonts w:hint="eastAsia" w:ascii="Times New Roman" w:hAnsi="Times New Roman" w:eastAsia="宋体" w:cs="Times New Roman"/>
                <w:b/>
                <w:bCs/>
                <w:kern w:val="0"/>
                <w:sz w:val="22"/>
                <w:szCs w:val="22"/>
                <w:lang w:val="en-US" w:eastAsia="zh-CN"/>
              </w:rPr>
              <w:t>关于进一步强化黔东南家庭教育的建议</w:t>
            </w:r>
          </w:p>
        </w:tc>
      </w:tr>
      <w:tr>
        <w:tblPrEx>
          <w:tblCellMar>
            <w:top w:w="0" w:type="dxa"/>
            <w:left w:w="15" w:type="dxa"/>
            <w:bottom w:w="0" w:type="dxa"/>
            <w:right w:w="15" w:type="dxa"/>
          </w:tblCellMar>
        </w:tblPrEx>
        <w:tc>
          <w:tcPr>
            <w:tcW w:w="1753" w:type="dxa"/>
            <w:vAlign w:val="center"/>
          </w:tcPr>
          <w:p>
            <w:pPr>
              <w:jc w:val="left"/>
              <w:rPr>
                <w:rStyle w:val="19"/>
                <w:rFonts w:ascii="宋体" w:hAnsi="宋体"/>
                <w:kern w:val="0"/>
                <w:sz w:val="24"/>
              </w:rPr>
            </w:pPr>
            <w:r>
              <w:rPr>
                <w:rStyle w:val="19"/>
                <w:rFonts w:ascii="黑体" w:hAnsi="宋体" w:eastAsia="黑体" w:cs="宋体"/>
                <w:b/>
                <w:bCs/>
                <w:kern w:val="0"/>
                <w:sz w:val="24"/>
              </w:rPr>
              <w:t>审查意见</w:t>
            </w:r>
            <w:r>
              <w:rPr>
                <w:rStyle w:val="19"/>
                <w:rFonts w:ascii="宋体" w:hAnsi="宋体" w:cs="宋体"/>
                <w:b/>
                <w:bCs/>
                <w:kern w:val="0"/>
                <w:sz w:val="24"/>
              </w:rPr>
              <w:t>：</w:t>
            </w:r>
          </w:p>
        </w:tc>
        <w:tc>
          <w:tcPr>
            <w:tcW w:w="6797" w:type="dxa"/>
            <w:gridSpan w:val="3"/>
            <w:vAlign w:val="center"/>
          </w:tcPr>
          <w:p>
            <w:pPr>
              <w:jc w:val="left"/>
              <w:rPr>
                <w:rStyle w:val="19"/>
                <w:rFonts w:hint="default" w:ascii="宋体" w:hAnsi="宋体"/>
                <w:kern w:val="0"/>
                <w:sz w:val="24"/>
                <w:lang w:val="en-US" w:eastAsia="zh-CN"/>
              </w:rPr>
            </w:pPr>
            <w:r>
              <w:rPr>
                <w:rStyle w:val="19"/>
                <w:rFonts w:hint="eastAsia" w:ascii="宋体" w:hAnsi="宋体"/>
                <w:kern w:val="0"/>
                <w:sz w:val="24"/>
                <w:szCs w:val="24"/>
                <w:lang w:eastAsia="zh-CN"/>
              </w:rPr>
              <w:t>主办：州教育局</w:t>
            </w:r>
            <w:r>
              <w:rPr>
                <w:rStyle w:val="19"/>
                <w:rFonts w:hint="eastAsia" w:ascii="宋体" w:hAnsi="宋体"/>
                <w:kern w:val="0"/>
                <w:sz w:val="24"/>
                <w:szCs w:val="24"/>
                <w:lang w:val="en-US" w:eastAsia="zh-CN"/>
              </w:rPr>
              <w:t xml:space="preserve">   会办：州妇联、州司法局</w:t>
            </w:r>
            <w:bookmarkStart w:id="0" w:name="_GoBack"/>
            <w:bookmarkEnd w:id="0"/>
          </w:p>
        </w:tc>
      </w:tr>
      <w:tr>
        <w:tblPrEx>
          <w:tblCellMar>
            <w:top w:w="0" w:type="dxa"/>
            <w:left w:w="15" w:type="dxa"/>
            <w:bottom w:w="0" w:type="dxa"/>
            <w:right w:w="15" w:type="dxa"/>
          </w:tblCellMar>
        </w:tblPrEx>
        <w:tc>
          <w:tcPr>
            <w:tcW w:w="1753" w:type="dxa"/>
            <w:vAlign w:val="center"/>
          </w:tcPr>
          <w:p>
            <w:pPr>
              <w:jc w:val="left"/>
              <w:rPr>
                <w:rStyle w:val="19"/>
                <w:rFonts w:ascii="黑体" w:hAnsi="宋体" w:eastAsia="黑体"/>
                <w:kern w:val="0"/>
                <w:sz w:val="24"/>
              </w:rPr>
            </w:pPr>
            <w:r>
              <w:rPr>
                <w:rStyle w:val="19"/>
                <w:rFonts w:ascii="黑体" w:hAnsi="宋体" w:eastAsia="黑体" w:cs="宋体"/>
                <w:b/>
                <w:bCs/>
                <w:kern w:val="0"/>
                <w:sz w:val="24"/>
              </w:rPr>
              <w:t>提</w:t>
            </w:r>
            <w:r>
              <w:rPr>
                <w:rStyle w:val="19"/>
                <w:rFonts w:hint="eastAsia" w:ascii="黑体" w:hAnsi="宋体" w:eastAsia="黑体" w:cs="宋体"/>
                <w:b/>
                <w:bCs/>
                <w:kern w:val="0"/>
                <w:sz w:val="24"/>
                <w:lang w:val="en-US" w:eastAsia="zh-CN"/>
              </w:rPr>
              <w:t xml:space="preserve"> </w:t>
            </w:r>
            <w:r>
              <w:rPr>
                <w:rStyle w:val="19"/>
                <w:rFonts w:ascii="黑体" w:hAnsi="宋体" w:eastAsia="黑体" w:cs="宋体"/>
                <w:b/>
                <w:bCs/>
                <w:kern w:val="0"/>
                <w:sz w:val="24"/>
              </w:rPr>
              <w:t>案</w:t>
            </w:r>
            <w:r>
              <w:rPr>
                <w:rStyle w:val="19"/>
                <w:rFonts w:hint="eastAsia" w:ascii="黑体" w:hAnsi="宋体" w:eastAsia="黑体" w:cs="宋体"/>
                <w:b/>
                <w:bCs/>
                <w:kern w:val="0"/>
                <w:sz w:val="24"/>
                <w:lang w:val="en-US" w:eastAsia="zh-CN"/>
              </w:rPr>
              <w:t xml:space="preserve"> </w:t>
            </w:r>
            <w:r>
              <w:rPr>
                <w:rStyle w:val="19"/>
                <w:rFonts w:ascii="黑体" w:hAnsi="宋体" w:eastAsia="黑体" w:cs="宋体"/>
                <w:b/>
                <w:bCs/>
                <w:kern w:val="0"/>
                <w:sz w:val="24"/>
              </w:rPr>
              <w:t>人</w:t>
            </w:r>
            <w:r>
              <w:rPr>
                <w:rStyle w:val="19"/>
                <w:rFonts w:ascii="宋体" w:hAnsi="宋体" w:eastAsia="黑体" w:cs="宋体"/>
                <w:b/>
                <w:bCs/>
                <w:kern w:val="0"/>
                <w:sz w:val="24"/>
              </w:rPr>
              <w:t>：</w:t>
            </w:r>
          </w:p>
        </w:tc>
        <w:tc>
          <w:tcPr>
            <w:tcW w:w="3872" w:type="dxa"/>
            <w:vAlign w:val="center"/>
          </w:tcPr>
          <w:p>
            <w:pPr>
              <w:jc w:val="left"/>
              <w:rPr>
                <w:rStyle w:val="19"/>
                <w:rFonts w:ascii="宋体" w:hAnsi="宋体"/>
                <w:kern w:val="0"/>
                <w:sz w:val="24"/>
              </w:rPr>
            </w:pPr>
            <w:r>
              <w:rPr>
                <w:rStyle w:val="19"/>
                <w:rFonts w:ascii="宋体" w:hAnsi="宋体" w:cs="宋体"/>
                <w:b/>
                <w:bCs/>
                <w:kern w:val="0"/>
                <w:sz w:val="24"/>
              </w:rPr>
              <w:t>通讯地址</w:t>
            </w:r>
          </w:p>
        </w:tc>
        <w:tc>
          <w:tcPr>
            <w:tcW w:w="1440" w:type="dxa"/>
            <w:vAlign w:val="center"/>
          </w:tcPr>
          <w:p>
            <w:pPr>
              <w:jc w:val="left"/>
              <w:rPr>
                <w:rStyle w:val="19"/>
                <w:rFonts w:ascii="宋体" w:hAnsi="宋体"/>
                <w:kern w:val="0"/>
                <w:sz w:val="24"/>
              </w:rPr>
            </w:pPr>
            <w:r>
              <w:rPr>
                <w:rStyle w:val="19"/>
                <w:rFonts w:ascii="宋体" w:hAnsi="宋体" w:cs="宋体"/>
                <w:b/>
                <w:bCs/>
                <w:kern w:val="0"/>
                <w:sz w:val="24"/>
              </w:rPr>
              <w:t>邮政编码</w:t>
            </w:r>
          </w:p>
        </w:tc>
        <w:tc>
          <w:tcPr>
            <w:tcW w:w="1485" w:type="dxa"/>
            <w:vAlign w:val="center"/>
          </w:tcPr>
          <w:p>
            <w:pPr>
              <w:jc w:val="left"/>
              <w:rPr>
                <w:rStyle w:val="19"/>
                <w:rFonts w:ascii="宋体" w:hAnsi="宋体"/>
                <w:kern w:val="0"/>
                <w:sz w:val="24"/>
              </w:rPr>
            </w:pPr>
            <w:r>
              <w:rPr>
                <w:rStyle w:val="19"/>
                <w:rFonts w:ascii="宋体" w:hAnsi="宋体" w:cs="宋体"/>
                <w:b/>
                <w:bCs/>
                <w:kern w:val="0"/>
                <w:sz w:val="24"/>
              </w:rPr>
              <w:t>联系电话</w:t>
            </w:r>
          </w:p>
        </w:tc>
      </w:tr>
      <w:tr>
        <w:tblPrEx>
          <w:tblCellMar>
            <w:top w:w="0" w:type="dxa"/>
            <w:left w:w="15" w:type="dxa"/>
            <w:bottom w:w="0" w:type="dxa"/>
            <w:right w:w="15" w:type="dxa"/>
          </w:tblCellMar>
        </w:tblPrEx>
        <w:tc>
          <w:tcPr>
            <w:tcW w:w="1753" w:type="dxa"/>
            <w:vAlign w:val="center"/>
          </w:tcPr>
          <w:p>
            <w:pPr>
              <w:jc w:val="left"/>
              <w:rPr>
                <w:rStyle w:val="19"/>
                <w:rFonts w:hint="eastAsia" w:ascii="宋体" w:hAnsi="宋体" w:eastAsia="宋体"/>
                <w:kern w:val="0"/>
                <w:sz w:val="24"/>
                <w:lang w:eastAsia="zh-CN"/>
              </w:rPr>
            </w:pPr>
            <w:r>
              <w:rPr>
                <w:rStyle w:val="19"/>
                <w:rFonts w:hint="eastAsia" w:ascii="宋体" w:hAnsi="宋体"/>
                <w:kern w:val="0"/>
                <w:sz w:val="21"/>
                <w:szCs w:val="21"/>
                <w:lang w:eastAsia="zh-CN"/>
              </w:rPr>
              <w:t>李诗卉</w:t>
            </w:r>
          </w:p>
        </w:tc>
        <w:tc>
          <w:tcPr>
            <w:tcW w:w="3872" w:type="dxa"/>
            <w:vAlign w:val="center"/>
          </w:tcPr>
          <w:p>
            <w:pPr>
              <w:jc w:val="left"/>
              <w:rPr>
                <w:rStyle w:val="19"/>
                <w:rFonts w:hint="default" w:ascii="宋体" w:hAnsi="宋体" w:eastAsia="宋体"/>
                <w:kern w:val="0"/>
                <w:sz w:val="24"/>
                <w:lang w:val="en-US" w:eastAsia="zh-CN"/>
              </w:rPr>
            </w:pPr>
            <w:r>
              <w:rPr>
                <w:rStyle w:val="19"/>
                <w:rFonts w:hint="eastAsia" w:ascii="宋体" w:hAnsi="宋体"/>
                <w:kern w:val="0"/>
                <w:sz w:val="21"/>
                <w:szCs w:val="21"/>
                <w:lang w:val="en-US" w:eastAsia="zh-CN"/>
              </w:rPr>
              <w:t>黔东南州心理卫生协会</w:t>
            </w:r>
          </w:p>
        </w:tc>
        <w:tc>
          <w:tcPr>
            <w:tcW w:w="1440" w:type="dxa"/>
            <w:vAlign w:val="center"/>
          </w:tcPr>
          <w:p>
            <w:pPr>
              <w:jc w:val="left"/>
              <w:rPr>
                <w:rStyle w:val="19"/>
                <w:rFonts w:hint="default" w:ascii="宋体" w:hAnsi="宋体" w:eastAsia="宋体"/>
                <w:kern w:val="0"/>
                <w:sz w:val="24"/>
                <w:lang w:val="en-US" w:eastAsia="zh-CN"/>
              </w:rPr>
            </w:pPr>
            <w:r>
              <w:rPr>
                <w:rStyle w:val="19"/>
                <w:rFonts w:hint="eastAsia" w:ascii="宋体" w:hAnsi="宋体"/>
                <w:kern w:val="0"/>
                <w:sz w:val="24"/>
              </w:rPr>
              <w:t>55</w:t>
            </w:r>
            <w:r>
              <w:rPr>
                <w:rStyle w:val="19"/>
                <w:rFonts w:hint="eastAsia" w:ascii="宋体" w:hAnsi="宋体"/>
                <w:kern w:val="0"/>
                <w:sz w:val="24"/>
                <w:lang w:val="en-US" w:eastAsia="zh-CN"/>
              </w:rPr>
              <w:t>6000</w:t>
            </w:r>
          </w:p>
        </w:tc>
        <w:tc>
          <w:tcPr>
            <w:tcW w:w="1485" w:type="dxa"/>
            <w:vAlign w:val="center"/>
          </w:tcPr>
          <w:p>
            <w:pPr>
              <w:jc w:val="left"/>
              <w:rPr>
                <w:rStyle w:val="19"/>
                <w:rFonts w:hint="default" w:ascii="宋体" w:hAnsi="宋体" w:eastAsia="宋体"/>
                <w:kern w:val="0"/>
                <w:sz w:val="24"/>
                <w:lang w:val="en-US" w:eastAsia="zh-CN"/>
              </w:rPr>
            </w:pPr>
            <w:r>
              <w:rPr>
                <w:rStyle w:val="19"/>
                <w:rFonts w:hint="eastAsia" w:ascii="宋体" w:hAnsi="宋体"/>
                <w:kern w:val="0"/>
                <w:sz w:val="24"/>
                <w:lang w:val="en-US" w:eastAsia="zh-CN"/>
              </w:rPr>
              <w:t>15772568876</w:t>
            </w:r>
          </w:p>
        </w:tc>
      </w:tr>
      <w:tr>
        <w:tblPrEx>
          <w:tblCellMar>
            <w:top w:w="0" w:type="dxa"/>
            <w:left w:w="15" w:type="dxa"/>
            <w:bottom w:w="0" w:type="dxa"/>
            <w:right w:w="15" w:type="dxa"/>
          </w:tblCellMar>
        </w:tblPrEx>
        <w:tc>
          <w:tcPr>
            <w:tcW w:w="1753" w:type="dxa"/>
            <w:vAlign w:val="center"/>
          </w:tcPr>
          <w:p>
            <w:pPr>
              <w:jc w:val="left"/>
              <w:rPr>
                <w:rStyle w:val="19"/>
                <w:rFonts w:hint="eastAsia" w:ascii="宋体" w:hAnsi="宋体" w:eastAsia="宋体"/>
                <w:kern w:val="0"/>
                <w:sz w:val="24"/>
                <w:lang w:eastAsia="zh-CN"/>
              </w:rPr>
            </w:pPr>
            <w:r>
              <w:rPr>
                <w:rStyle w:val="19"/>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19"/>
                <w:rFonts w:hint="eastAsia" w:ascii="宋体" w:hAnsi="宋体"/>
                <w:kern w:val="0"/>
                <w:sz w:val="24"/>
                <w:lang w:val="en-US" w:eastAsia="zh-CN"/>
              </w:rPr>
            </w:pPr>
            <w:r>
              <w:rPr>
                <w:rStyle w:val="19"/>
                <w:rFonts w:hint="eastAsia" w:ascii="宋体" w:hAnsi="宋体"/>
                <w:kern w:val="0"/>
                <w:sz w:val="24"/>
                <w:lang w:eastAsia="zh-CN"/>
              </w:rPr>
              <w:t>州委办秘书五科：</w:t>
            </w:r>
            <w:r>
              <w:rPr>
                <w:rStyle w:val="19"/>
                <w:rFonts w:hint="eastAsia" w:ascii="宋体" w:hAnsi="宋体"/>
                <w:kern w:val="0"/>
                <w:sz w:val="24"/>
                <w:lang w:val="en-US" w:eastAsia="zh-CN"/>
              </w:rPr>
              <w:t>8270060；</w:t>
            </w:r>
            <w:r>
              <w:rPr>
                <w:rStyle w:val="19"/>
                <w:rFonts w:hint="eastAsia" w:ascii="宋体" w:hAnsi="宋体"/>
                <w:kern w:val="0"/>
                <w:sz w:val="24"/>
                <w:lang w:eastAsia="zh-CN"/>
              </w:rPr>
              <w:t>州政府办建议提案科：</w:t>
            </w:r>
            <w:r>
              <w:rPr>
                <w:rStyle w:val="19"/>
                <w:rFonts w:hint="eastAsia" w:ascii="宋体" w:hAnsi="宋体"/>
                <w:kern w:val="0"/>
                <w:sz w:val="24"/>
                <w:lang w:val="en-US" w:eastAsia="zh-CN"/>
              </w:rPr>
              <w:t>8260016；</w:t>
            </w:r>
          </w:p>
          <w:p>
            <w:pPr>
              <w:jc w:val="left"/>
              <w:rPr>
                <w:rStyle w:val="19"/>
                <w:rFonts w:hint="default" w:ascii="宋体" w:hAnsi="宋体"/>
                <w:kern w:val="0"/>
                <w:sz w:val="24"/>
                <w:lang w:val="en-US"/>
              </w:rPr>
            </w:pPr>
            <w:r>
              <w:rPr>
                <w:rStyle w:val="19"/>
                <w:rFonts w:hint="eastAsia" w:ascii="宋体" w:hAnsi="宋体"/>
                <w:kern w:val="0"/>
                <w:sz w:val="24"/>
                <w:lang w:eastAsia="zh-CN"/>
              </w:rPr>
              <w:t>州政协提案委：</w:t>
            </w:r>
            <w:r>
              <w:rPr>
                <w:rStyle w:val="19"/>
                <w:rFonts w:hint="eastAsia" w:ascii="宋体" w:hAnsi="宋体"/>
                <w:kern w:val="0"/>
                <w:sz w:val="24"/>
                <w:lang w:val="en-US" w:eastAsia="zh-CN"/>
              </w:rPr>
              <w:t>8428866</w:t>
            </w:r>
            <w:r>
              <w:rPr>
                <w:rStyle w:val="19"/>
                <w:rFonts w:hint="eastAsia" w:ascii="宋体" w:hAnsi="宋体"/>
                <w:kern w:val="0"/>
                <w:sz w:val="24"/>
                <w:lang w:eastAsia="zh-CN"/>
              </w:rPr>
              <w:t>。</w:t>
            </w:r>
          </w:p>
        </w:tc>
      </w:tr>
    </w:tbl>
    <w:p>
      <w:pPr>
        <w:jc w:val="left"/>
        <w:rPr>
          <w:rStyle w:val="19"/>
          <w:rFonts w:ascii="宋体" w:hAnsi="宋体"/>
          <w:kern w:val="0"/>
          <w:sz w:val="24"/>
        </w:rPr>
      </w:pPr>
      <w:r>
        <w:rPr>
          <w:rStyle w:val="19"/>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560" w:lineRule="exact"/>
        <w:rPr>
          <w:rStyle w:val="19"/>
          <w:rFonts w:hint="eastAsia" w:ascii="仿宋_GB2312" w:hAnsi="宋体" w:eastAsia="仿宋_GB2312"/>
          <w:kern w:val="0"/>
          <w:sz w:val="32"/>
          <w:szCs w:val="32"/>
        </w:rPr>
      </w:pPr>
      <w:r>
        <w:rPr>
          <w:rStyle w:val="19"/>
          <w:rFonts w:hint="eastAsia" w:ascii="仿宋_GB2312" w:hAnsi="宋体" w:eastAsia="仿宋_GB2312"/>
          <w:kern w:val="0"/>
          <w:sz w:val="32"/>
          <w:szCs w:val="32"/>
        </w:rPr>
        <w:t>内容和办法</w:t>
      </w:r>
      <w:r>
        <w:rPr>
          <w:rStyle w:val="19"/>
          <w:rFonts w:hint="eastAsia" w:ascii="仿宋_GB2312" w:hAnsi="宋体" w:eastAsia="仿宋_GB2312"/>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仿宋" w:hAnsi="仿宋" w:eastAsia="仿宋" w:cs="宋体"/>
          <w:kern w:val="0"/>
          <w:sz w:val="32"/>
          <w:szCs w:val="32"/>
          <w:lang w:eastAsia="zh-CN" w:bidi="ar"/>
        </w:rPr>
      </w:pPr>
      <w:r>
        <w:rPr>
          <w:rFonts w:hint="eastAsia" w:ascii="仿宋" w:hAnsi="仿宋" w:eastAsia="仿宋" w:cs="宋体"/>
          <w:kern w:val="0"/>
          <w:sz w:val="32"/>
          <w:szCs w:val="32"/>
          <w:lang w:bidi="ar"/>
        </w:rPr>
        <w:t>我州对家庭教育高度重视，州各级妇联按照“家家幸福安康工程”的要求，根据全国妇联、省妇联的统一安排，立足于本地实际、能动开展家庭教育工作，丰富家庭教育载体、创建家庭教育品牌。但由于黔东南经济基础薄弱，劳务输出人数众多，每年在外就业人员多达百万之数，不少家庭的家庭教育滞后、亲情关怀不够，儿童权益保障亟待加强</w:t>
      </w:r>
      <w:r>
        <w:rPr>
          <w:rFonts w:hint="eastAsia" w:ascii="仿宋" w:hAnsi="仿宋" w:eastAsia="仿宋" w:cs="宋体"/>
          <w:kern w:val="0"/>
          <w:sz w:val="32"/>
          <w:szCs w:val="32"/>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仿宋" w:hAnsi="仿宋" w:eastAsia="仿宋" w:cs="宋体"/>
          <w:kern w:val="0"/>
          <w:sz w:val="32"/>
          <w:szCs w:val="32"/>
          <w:lang w:bidi="ar"/>
        </w:rPr>
      </w:pPr>
      <w:r>
        <w:rPr>
          <w:rFonts w:hint="eastAsia" w:ascii="仿宋" w:hAnsi="仿宋" w:eastAsia="仿宋" w:cs="宋体"/>
          <w:kern w:val="0"/>
          <w:sz w:val="32"/>
          <w:szCs w:val="32"/>
          <w:lang w:bidi="ar"/>
        </w:rPr>
        <w:t>主要存在：</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baseline"/>
        <w:rPr>
          <w:rFonts w:hint="eastAsia" w:ascii="仿宋" w:hAnsi="仿宋" w:eastAsia="仿宋" w:cs="宋体"/>
          <w:kern w:val="0"/>
          <w:sz w:val="32"/>
          <w:szCs w:val="32"/>
          <w:lang w:bidi="ar"/>
        </w:rPr>
      </w:pPr>
      <w:r>
        <w:rPr>
          <w:rFonts w:hint="eastAsia" w:ascii="仿宋" w:hAnsi="仿宋" w:eastAsia="仿宋" w:cs="宋体"/>
          <w:b/>
          <w:kern w:val="0"/>
          <w:sz w:val="32"/>
          <w:szCs w:val="32"/>
          <w:lang w:bidi="ar"/>
        </w:rPr>
        <w:t>一</w:t>
      </w:r>
      <w:r>
        <w:rPr>
          <w:rFonts w:hint="eastAsia" w:ascii="仿宋" w:hAnsi="仿宋" w:eastAsia="仿宋" w:cs="宋体"/>
          <w:b/>
          <w:kern w:val="0"/>
          <w:sz w:val="32"/>
          <w:szCs w:val="32"/>
          <w:lang w:eastAsia="zh-CN" w:bidi="ar"/>
        </w:rPr>
        <w:t>、</w:t>
      </w:r>
      <w:r>
        <w:rPr>
          <w:rFonts w:hint="eastAsia" w:ascii="仿宋" w:hAnsi="仿宋" w:eastAsia="仿宋" w:cs="宋体"/>
          <w:b/>
          <w:kern w:val="0"/>
          <w:sz w:val="32"/>
          <w:szCs w:val="32"/>
          <w:lang w:bidi="ar"/>
        </w:rPr>
        <w:t>从事家庭教育工作的团队不够专业，高层次的家庭教育师资缺乏。</w:t>
      </w:r>
      <w:r>
        <w:rPr>
          <w:rFonts w:hint="eastAsia" w:ascii="仿宋" w:hAnsi="仿宋" w:eastAsia="仿宋" w:cs="宋体"/>
          <w:kern w:val="0"/>
          <w:sz w:val="32"/>
          <w:szCs w:val="32"/>
          <w:lang w:bidi="ar"/>
        </w:rPr>
        <w:t>家庭教育专业性很强，黔东南州依托各大高校以及各县教师队伍组建的家庭教育骨干教师，多数为教学一线的教师。从短期来看，这些教师固然加强了家庭教育建设的队伍，对家庭教育建设起到巨大的推动作用，但这些家庭教育教师在一线从事专门的学课教学，本身有繁重的教学任务，不能全身心地投入家庭教育中。越是高层次的家庭教师，各类教学任务越是繁重，无法保障家庭教育的常态化开展。</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baseline"/>
        <w:rPr>
          <w:rFonts w:hint="eastAsia" w:ascii="仿宋" w:hAnsi="仿宋" w:eastAsia="仿宋" w:cs="宋体"/>
          <w:kern w:val="0"/>
          <w:sz w:val="32"/>
          <w:szCs w:val="32"/>
        </w:rPr>
      </w:pPr>
      <w:r>
        <w:rPr>
          <w:rFonts w:hint="eastAsia" w:ascii="仿宋" w:hAnsi="仿宋" w:eastAsia="仿宋" w:cs="宋体"/>
          <w:b/>
          <w:kern w:val="0"/>
          <w:sz w:val="32"/>
          <w:szCs w:val="32"/>
          <w:lang w:bidi="ar"/>
        </w:rPr>
        <w:t>二</w:t>
      </w:r>
      <w:r>
        <w:rPr>
          <w:rFonts w:hint="eastAsia" w:ascii="仿宋" w:hAnsi="仿宋" w:eastAsia="仿宋" w:cs="宋体"/>
          <w:b/>
          <w:kern w:val="0"/>
          <w:sz w:val="32"/>
          <w:szCs w:val="32"/>
          <w:lang w:eastAsia="zh-CN" w:bidi="ar"/>
        </w:rPr>
        <w:t>、</w:t>
      </w:r>
      <w:r>
        <w:rPr>
          <w:rFonts w:hint="eastAsia" w:ascii="仿宋" w:hAnsi="仿宋" w:eastAsia="仿宋" w:cs="宋体"/>
          <w:b/>
          <w:kern w:val="0"/>
          <w:sz w:val="32"/>
          <w:szCs w:val="32"/>
          <w:lang w:bidi="ar"/>
        </w:rPr>
        <w:t>家庭教育的合力尚未形成。</w:t>
      </w:r>
      <w:r>
        <w:rPr>
          <w:rFonts w:hint="eastAsia" w:ascii="仿宋" w:hAnsi="仿宋" w:eastAsia="仿宋" w:cs="宋体"/>
          <w:kern w:val="0"/>
          <w:sz w:val="32"/>
          <w:szCs w:val="32"/>
          <w:lang w:bidi="ar"/>
        </w:rPr>
        <w:t>家庭教育需要社会各界以及学校、家庭的共同努力。一部分家庭对家庭教育的认识比较模糊，认为教育是学校的事情，对孩子疏于管理，对孩子的学习、生活及思想动态掌握不清。关心下一代工作委员会、妇联、教育部门、公安、团委、媒体在家庭教育上没有形成常态化的联动机制，尚未形成工作合力。</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baseline"/>
        <w:rPr>
          <w:rFonts w:hint="eastAsia" w:ascii="仿宋" w:hAnsi="仿宋" w:eastAsia="仿宋" w:cs="宋体"/>
          <w:kern w:val="0"/>
          <w:sz w:val="32"/>
          <w:szCs w:val="32"/>
        </w:rPr>
      </w:pPr>
      <w:r>
        <w:rPr>
          <w:rFonts w:hint="eastAsia" w:ascii="仿宋" w:hAnsi="仿宋" w:eastAsia="仿宋" w:cs="宋体"/>
          <w:b/>
          <w:kern w:val="0"/>
          <w:sz w:val="32"/>
          <w:szCs w:val="32"/>
          <w:lang w:bidi="ar"/>
        </w:rPr>
        <w:t>三</w:t>
      </w:r>
      <w:r>
        <w:rPr>
          <w:rFonts w:hint="eastAsia" w:ascii="仿宋" w:hAnsi="仿宋" w:eastAsia="仿宋" w:cs="宋体"/>
          <w:b/>
          <w:kern w:val="0"/>
          <w:sz w:val="32"/>
          <w:szCs w:val="32"/>
          <w:lang w:eastAsia="zh-CN" w:bidi="ar"/>
        </w:rPr>
        <w:t>、</w:t>
      </w:r>
      <w:r>
        <w:rPr>
          <w:rFonts w:hint="eastAsia" w:ascii="仿宋" w:hAnsi="仿宋" w:eastAsia="仿宋" w:cs="宋体"/>
          <w:b/>
          <w:kern w:val="0"/>
          <w:sz w:val="32"/>
          <w:szCs w:val="32"/>
          <w:lang w:bidi="ar"/>
        </w:rPr>
        <w:t>家庭教育工作的形式和内容上创新不够，活动内容和载体需进一步丰富。</w:t>
      </w:r>
      <w:r>
        <w:rPr>
          <w:rFonts w:hint="eastAsia" w:ascii="仿宋" w:hAnsi="仿宋" w:eastAsia="仿宋" w:cs="宋体"/>
          <w:kern w:val="0"/>
          <w:sz w:val="32"/>
          <w:szCs w:val="32"/>
          <w:lang w:bidi="ar"/>
        </w:rPr>
        <w:t>目前，黔东南州各县市均按照中央、省、州的相关工作开展家庭教育活动，虽都开展了寻找“最美家庭”评选、“家书传家庭·给妈妈的一封信”主题征文、“小桔灯”阅读、营造亲子共读好家庭等活动，举办了“孩子哭闹怎么办”“如何让孩子远离手机”等不同主题讲座，但是家庭教育骨干教师、家庭宣讲队伍力量依然不够，活动形式单一，效果不够显著。</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baseline"/>
        <w:rPr>
          <w:rFonts w:hint="eastAsia" w:ascii="仿宋" w:hAnsi="仿宋" w:eastAsia="仿宋" w:cs="宋体"/>
          <w:kern w:val="0"/>
          <w:sz w:val="32"/>
          <w:szCs w:val="32"/>
        </w:rPr>
      </w:pPr>
      <w:r>
        <w:rPr>
          <w:rFonts w:hint="eastAsia" w:ascii="仿宋" w:hAnsi="仿宋" w:eastAsia="仿宋" w:cs="宋体"/>
          <w:b/>
          <w:kern w:val="0"/>
          <w:sz w:val="32"/>
          <w:szCs w:val="32"/>
          <w:lang w:bidi="ar"/>
        </w:rPr>
        <w:t>四</w:t>
      </w:r>
      <w:r>
        <w:rPr>
          <w:rFonts w:hint="eastAsia" w:ascii="仿宋" w:hAnsi="仿宋" w:eastAsia="仿宋" w:cs="宋体"/>
          <w:b/>
          <w:kern w:val="0"/>
          <w:sz w:val="32"/>
          <w:szCs w:val="32"/>
          <w:lang w:eastAsia="zh-CN" w:bidi="ar"/>
        </w:rPr>
        <w:t>、</w:t>
      </w:r>
      <w:r>
        <w:rPr>
          <w:rFonts w:hint="eastAsia" w:ascii="仿宋" w:hAnsi="仿宋" w:eastAsia="仿宋" w:cs="宋体"/>
          <w:b/>
          <w:kern w:val="0"/>
          <w:sz w:val="32"/>
          <w:szCs w:val="32"/>
          <w:lang w:bidi="ar"/>
        </w:rPr>
        <w:t>家庭教育工作城乡发展不平衡，基层家庭家教家庭教育热度不够。</w:t>
      </w:r>
      <w:r>
        <w:rPr>
          <w:rFonts w:hint="eastAsia" w:ascii="仿宋" w:hAnsi="仿宋" w:eastAsia="仿宋" w:cs="宋体"/>
          <w:kern w:val="0"/>
          <w:sz w:val="32"/>
          <w:szCs w:val="32"/>
          <w:lang w:bidi="ar"/>
        </w:rPr>
        <w:t>群众对家庭家教建设重视不够。有些家庭存在“家庭教育缺失、重智轻德、重知轻能、过分宠爱、过高要求”等现象，有些家庭没有形成从老一辈延续下来优秀的家庭家训，有些家庭的家庭家训只是口头言语，没有总结提炼出属于自己家庭的家庭家训。</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baseline"/>
        <w:rPr>
          <w:rFonts w:hint="eastAsia" w:ascii="仿宋" w:hAnsi="仿宋" w:eastAsia="仿宋" w:cs="宋体"/>
          <w:kern w:val="0"/>
          <w:sz w:val="32"/>
          <w:szCs w:val="32"/>
        </w:rPr>
      </w:pPr>
      <w:r>
        <w:rPr>
          <w:rFonts w:hint="eastAsia" w:ascii="仿宋" w:hAnsi="仿宋" w:eastAsia="仿宋" w:cs="宋体"/>
          <w:b/>
          <w:kern w:val="0"/>
          <w:sz w:val="32"/>
          <w:szCs w:val="32"/>
          <w:lang w:bidi="ar"/>
        </w:rPr>
        <w:t>五</w:t>
      </w:r>
      <w:r>
        <w:rPr>
          <w:rFonts w:hint="eastAsia" w:ascii="仿宋" w:hAnsi="仿宋" w:eastAsia="仿宋" w:cs="宋体"/>
          <w:b/>
          <w:kern w:val="0"/>
          <w:sz w:val="32"/>
          <w:szCs w:val="32"/>
          <w:lang w:eastAsia="zh-CN" w:bidi="ar"/>
        </w:rPr>
        <w:t>、</w:t>
      </w:r>
      <w:r>
        <w:rPr>
          <w:rFonts w:hint="eastAsia" w:ascii="仿宋" w:hAnsi="仿宋" w:eastAsia="仿宋" w:cs="宋体"/>
          <w:b/>
          <w:kern w:val="0"/>
          <w:sz w:val="32"/>
          <w:szCs w:val="32"/>
          <w:lang w:bidi="ar"/>
        </w:rPr>
        <w:t>家庭教育行业的无序运转。</w:t>
      </w:r>
      <w:r>
        <w:rPr>
          <w:rFonts w:hint="eastAsia" w:ascii="仿宋" w:hAnsi="仿宋" w:eastAsia="仿宋" w:cs="宋体"/>
          <w:kern w:val="0"/>
          <w:sz w:val="32"/>
          <w:szCs w:val="32"/>
          <w:lang w:bidi="ar"/>
        </w:rPr>
        <w:t>社会上从事家庭家教育的机构和个人非常多，家庭教育专业队伍松散弱，有营利性的，非营利性的，公益性的，自发组织性的，但是整体上存在三大问题：缺乏行业标准，百花齐放的同时也存在不少乱象；缺乏分工合作，服务相对单一，没有太多差异性；缺乏整体部署，影响力局限在各自的狭窄领域。</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仿宋" w:hAnsi="仿宋" w:eastAsia="仿宋" w:cs="宋体"/>
          <w:b w:val="0"/>
          <w:bCs/>
          <w:kern w:val="0"/>
          <w:sz w:val="32"/>
          <w:szCs w:val="32"/>
          <w:lang w:eastAsia="zh-CN"/>
        </w:rPr>
      </w:pPr>
      <w:r>
        <w:rPr>
          <w:rFonts w:hint="eastAsia" w:ascii="仿宋" w:hAnsi="仿宋" w:eastAsia="仿宋" w:cs="宋体"/>
          <w:b w:val="0"/>
          <w:bCs/>
          <w:kern w:val="0"/>
          <w:sz w:val="32"/>
          <w:szCs w:val="32"/>
          <w:lang w:bidi="ar"/>
        </w:rPr>
        <w:t>建议</w:t>
      </w:r>
      <w:r>
        <w:rPr>
          <w:rFonts w:hint="eastAsia" w:ascii="仿宋" w:hAnsi="仿宋" w:eastAsia="仿宋" w:cs="宋体"/>
          <w:b w:val="0"/>
          <w:bCs/>
          <w:kern w:val="0"/>
          <w:sz w:val="32"/>
          <w:szCs w:val="32"/>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仿宋" w:hAnsi="仿宋" w:eastAsia="仿宋" w:cs="宋体"/>
          <w:kern w:val="0"/>
          <w:sz w:val="32"/>
          <w:szCs w:val="32"/>
        </w:rPr>
      </w:pPr>
      <w:r>
        <w:rPr>
          <w:rFonts w:hint="eastAsia" w:ascii="仿宋" w:hAnsi="仿宋" w:eastAsia="仿宋" w:cs="宋体"/>
          <w:kern w:val="0"/>
          <w:sz w:val="32"/>
          <w:szCs w:val="32"/>
          <w:lang w:bidi="ar"/>
        </w:rPr>
        <w:t>强化黔东南州家庭教育应当从“打造专业的家庭教育队伍，建立家庭教育联动机制，丰富家庭教育统筹力度和家庭教育的形式和载体，发挥好基层组织在家庭教育中的作用”等方面入手，加强家庭教育的针对性，实效性，形成“政府主导、部门协同、社会参与，发挥家长主体作用”的家庭教育工作格局。</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baseline"/>
        <w:rPr>
          <w:rFonts w:hint="eastAsia" w:ascii="仿宋" w:hAnsi="仿宋" w:eastAsia="仿宋" w:cs="宋体"/>
          <w:kern w:val="0"/>
          <w:sz w:val="32"/>
          <w:szCs w:val="32"/>
        </w:rPr>
      </w:pPr>
      <w:r>
        <w:rPr>
          <w:rFonts w:hint="eastAsia" w:ascii="仿宋" w:hAnsi="仿宋" w:eastAsia="仿宋" w:cs="宋体"/>
          <w:b/>
          <w:kern w:val="0"/>
          <w:sz w:val="32"/>
          <w:szCs w:val="32"/>
          <w:lang w:bidi="ar"/>
        </w:rPr>
        <w:t>一</w:t>
      </w:r>
      <w:r>
        <w:rPr>
          <w:rFonts w:hint="eastAsia" w:ascii="仿宋" w:hAnsi="仿宋" w:eastAsia="仿宋" w:cs="宋体"/>
          <w:b/>
          <w:kern w:val="0"/>
          <w:sz w:val="32"/>
          <w:szCs w:val="32"/>
          <w:lang w:eastAsia="zh-CN" w:bidi="ar"/>
        </w:rPr>
        <w:t>、</w:t>
      </w:r>
      <w:r>
        <w:rPr>
          <w:rFonts w:hint="eastAsia" w:ascii="仿宋" w:hAnsi="仿宋" w:eastAsia="仿宋" w:cs="宋体"/>
          <w:b/>
          <w:kern w:val="0"/>
          <w:sz w:val="32"/>
          <w:szCs w:val="32"/>
          <w:lang w:bidi="ar"/>
        </w:rPr>
        <w:t>构建政府主导、部门协同、社会参与，充分发挥家长主体作用的家庭教育支持服务体系，形成工作合力。</w:t>
      </w:r>
      <w:r>
        <w:rPr>
          <w:rFonts w:hint="eastAsia" w:ascii="仿宋" w:hAnsi="仿宋" w:eastAsia="仿宋" w:cs="宋体"/>
          <w:kern w:val="0"/>
          <w:sz w:val="32"/>
          <w:szCs w:val="32"/>
          <w:lang w:bidi="ar"/>
        </w:rPr>
        <w:t>妇联部门的组织协调力度有限，建议由政府统一组织安排。政府要明确责任、加大对家庭教育工作的规划、统筹和协调，出台相应政策，提高家庭教育的专业指导。各级各类群团组织要把家庭建设作为各自开展群众工作的重要内容，利用家长学校、儿童之家等阵地，多组织开展家庭教育知识讲座、亲子实践活动等，帮助广大家长学习家庭教育知识。各级司法机构，要发挥自己的专业优势，为家庭家庭建设提供法律普及、咨询、解读和援助。教育部门在教育中注重正面教育，成立各校（园）家庭教育工作指导小组，全面负责指导家庭教育工作。各部门建立家庭教育的联动机制，形成既有分工又有合作的工作局面，从而形成家庭家庭建设的合力。</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baseline"/>
        <w:rPr>
          <w:rFonts w:hint="eastAsia" w:ascii="仿宋" w:hAnsi="仿宋" w:eastAsia="仿宋" w:cs="宋体"/>
          <w:kern w:val="0"/>
          <w:sz w:val="32"/>
          <w:szCs w:val="32"/>
        </w:rPr>
      </w:pPr>
      <w:r>
        <w:rPr>
          <w:rFonts w:hint="eastAsia" w:ascii="仿宋" w:hAnsi="仿宋" w:eastAsia="仿宋" w:cs="宋体"/>
          <w:b/>
          <w:kern w:val="0"/>
          <w:sz w:val="32"/>
          <w:szCs w:val="32"/>
          <w:lang w:bidi="ar"/>
        </w:rPr>
        <w:t>二</w:t>
      </w:r>
      <w:r>
        <w:rPr>
          <w:rFonts w:hint="eastAsia" w:ascii="仿宋" w:hAnsi="仿宋" w:eastAsia="仿宋" w:cs="宋体"/>
          <w:b/>
          <w:kern w:val="0"/>
          <w:sz w:val="32"/>
          <w:szCs w:val="32"/>
          <w:lang w:eastAsia="zh-CN" w:bidi="ar"/>
        </w:rPr>
        <w:t>、</w:t>
      </w:r>
      <w:r>
        <w:rPr>
          <w:rFonts w:hint="eastAsia" w:ascii="仿宋" w:hAnsi="仿宋" w:eastAsia="仿宋" w:cs="宋体"/>
          <w:b/>
          <w:kern w:val="0"/>
          <w:sz w:val="32"/>
          <w:szCs w:val="32"/>
          <w:lang w:bidi="ar"/>
        </w:rPr>
        <w:t>加强投入，将家庭教育纳入政府购买服务范围。</w:t>
      </w:r>
      <w:r>
        <w:rPr>
          <w:rFonts w:hint="eastAsia" w:ascii="仿宋" w:hAnsi="仿宋" w:eastAsia="仿宋" w:cs="宋体"/>
          <w:kern w:val="0"/>
          <w:sz w:val="32"/>
          <w:szCs w:val="32"/>
          <w:lang w:bidi="ar"/>
        </w:rPr>
        <w:t>财政部门要安排专门经费，在家长示范性学校、“知心屋”建设、家庭教育公益讲座等方面予以保障。</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baseline"/>
        <w:rPr>
          <w:rFonts w:hint="eastAsia" w:ascii="仿宋" w:hAnsi="仿宋" w:eastAsia="仿宋" w:cs="宋体"/>
          <w:kern w:val="0"/>
          <w:sz w:val="32"/>
          <w:szCs w:val="32"/>
        </w:rPr>
      </w:pPr>
      <w:r>
        <w:rPr>
          <w:rFonts w:hint="eastAsia" w:ascii="仿宋" w:hAnsi="仿宋" w:eastAsia="仿宋" w:cs="宋体"/>
          <w:b/>
          <w:kern w:val="0"/>
          <w:sz w:val="32"/>
          <w:szCs w:val="32"/>
          <w:lang w:bidi="ar"/>
        </w:rPr>
        <w:t>三</w:t>
      </w:r>
      <w:r>
        <w:rPr>
          <w:rFonts w:hint="eastAsia" w:ascii="仿宋" w:hAnsi="仿宋" w:eastAsia="仿宋" w:cs="宋体"/>
          <w:b/>
          <w:kern w:val="0"/>
          <w:sz w:val="32"/>
          <w:szCs w:val="32"/>
          <w:lang w:eastAsia="zh-CN" w:bidi="ar"/>
        </w:rPr>
        <w:t>、</w:t>
      </w:r>
      <w:r>
        <w:rPr>
          <w:rFonts w:hint="eastAsia" w:ascii="仿宋" w:hAnsi="仿宋" w:eastAsia="仿宋" w:cs="宋体"/>
          <w:b/>
          <w:kern w:val="0"/>
          <w:sz w:val="32"/>
          <w:szCs w:val="32"/>
          <w:lang w:bidi="ar"/>
        </w:rPr>
        <w:t>打造专业的家庭教育队伍，增强家庭教育的实效性。</w:t>
      </w:r>
      <w:r>
        <w:rPr>
          <w:rFonts w:hint="eastAsia" w:ascii="仿宋" w:hAnsi="仿宋" w:eastAsia="仿宋" w:cs="宋体"/>
          <w:kern w:val="0"/>
          <w:sz w:val="32"/>
          <w:szCs w:val="32"/>
          <w:lang w:bidi="ar"/>
        </w:rPr>
        <w:t>专业、高水准的家庭教育队伍是庭教育的保障。在现有的基础上，黔东南州应当根据工作需求，有针对性地开展心理学、婚姻家庭、人际交往等专业知识培训，切实提升专业能力。组建一支经验丰富、年富力强、具有专业素养的家庭教育队伍，增强家庭教育的魅力和实效。与此同时，加强对妇联家庭教育队伍的培训，使之成为家庭教育的行家。</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baseline"/>
        <w:rPr>
          <w:rFonts w:hint="eastAsia" w:ascii="仿宋" w:hAnsi="仿宋" w:eastAsia="仿宋" w:cs="宋体"/>
          <w:kern w:val="0"/>
          <w:sz w:val="32"/>
          <w:szCs w:val="32"/>
        </w:rPr>
      </w:pPr>
      <w:r>
        <w:rPr>
          <w:rFonts w:hint="eastAsia" w:ascii="仿宋" w:hAnsi="仿宋" w:eastAsia="仿宋" w:cs="宋体"/>
          <w:b/>
          <w:kern w:val="0"/>
          <w:sz w:val="32"/>
          <w:szCs w:val="32"/>
          <w:lang w:bidi="ar"/>
        </w:rPr>
        <w:t>四</w:t>
      </w:r>
      <w:r>
        <w:rPr>
          <w:rFonts w:hint="eastAsia" w:ascii="仿宋" w:hAnsi="仿宋" w:eastAsia="仿宋" w:cs="宋体"/>
          <w:b/>
          <w:kern w:val="0"/>
          <w:sz w:val="32"/>
          <w:szCs w:val="32"/>
          <w:lang w:eastAsia="zh-CN" w:bidi="ar"/>
        </w:rPr>
        <w:t>、</w:t>
      </w:r>
      <w:r>
        <w:rPr>
          <w:rFonts w:hint="eastAsia" w:ascii="仿宋" w:hAnsi="仿宋" w:eastAsia="仿宋" w:cs="宋体"/>
          <w:b/>
          <w:kern w:val="0"/>
          <w:sz w:val="32"/>
          <w:szCs w:val="32"/>
          <w:lang w:bidi="ar"/>
        </w:rPr>
        <w:t>建立管理灵活、运转高效的家庭教育行业组织。</w:t>
      </w:r>
      <w:r>
        <w:rPr>
          <w:rFonts w:hint="eastAsia" w:ascii="仿宋" w:hAnsi="仿宋" w:eastAsia="仿宋" w:cs="宋体"/>
          <w:kern w:val="0"/>
          <w:sz w:val="32"/>
          <w:szCs w:val="32"/>
          <w:lang w:bidi="ar"/>
        </w:rPr>
        <w:t>建议在妇联部门的主导下，采取政府购买服务等方式，将社会上营利性的，非营利性的，公益性的，从事家庭教育工作的机构统筹起来，制定行业标准，规范化管理，使之为家庭教育服务。</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baseline"/>
        <w:rPr>
          <w:rFonts w:hint="eastAsia" w:ascii="仿宋" w:hAnsi="仿宋" w:eastAsia="仿宋" w:cs="宋体"/>
          <w:kern w:val="0"/>
          <w:sz w:val="32"/>
          <w:szCs w:val="32"/>
        </w:rPr>
      </w:pPr>
      <w:r>
        <w:rPr>
          <w:rFonts w:hint="eastAsia" w:ascii="仿宋" w:hAnsi="仿宋" w:eastAsia="仿宋" w:cs="宋体"/>
          <w:b/>
          <w:kern w:val="0"/>
          <w:sz w:val="32"/>
          <w:szCs w:val="32"/>
          <w:lang w:bidi="ar"/>
        </w:rPr>
        <w:t>五</w:t>
      </w:r>
      <w:r>
        <w:rPr>
          <w:rFonts w:hint="eastAsia" w:ascii="仿宋" w:hAnsi="仿宋" w:eastAsia="仿宋" w:cs="宋体"/>
          <w:b/>
          <w:kern w:val="0"/>
          <w:sz w:val="32"/>
          <w:szCs w:val="32"/>
          <w:lang w:eastAsia="zh-CN" w:bidi="ar"/>
        </w:rPr>
        <w:t>、</w:t>
      </w:r>
      <w:r>
        <w:rPr>
          <w:rFonts w:hint="eastAsia" w:ascii="仿宋" w:hAnsi="仿宋" w:eastAsia="仿宋" w:cs="宋体"/>
          <w:b/>
          <w:kern w:val="0"/>
          <w:sz w:val="32"/>
          <w:szCs w:val="32"/>
          <w:lang w:bidi="ar"/>
        </w:rPr>
        <w:t>丰富家庭教育的内容，创新家庭教育工作的载体。</w:t>
      </w:r>
      <w:r>
        <w:rPr>
          <w:rFonts w:hint="eastAsia" w:ascii="仿宋" w:hAnsi="仿宋" w:eastAsia="仿宋" w:cs="宋体"/>
          <w:kern w:val="0"/>
          <w:sz w:val="32"/>
          <w:szCs w:val="32"/>
          <w:lang w:bidi="ar"/>
        </w:rPr>
        <w:t>家庭教育不能光靠几个“样板戏”，各级妇联应当根据实际需要，通过QQ群、微信群、上门走访等方式，定期为家长提供咨询服务，采取群众喜闻乐见、生动有效的形式和方法，有针对性的播放节目，推动广大职工、青年和妇女积极参与家庭建设，争做贤内助、好儿女。</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baseline"/>
        <w:rPr>
          <w:rFonts w:hint="eastAsia" w:ascii="仿宋" w:hAnsi="仿宋" w:eastAsia="仿宋" w:cs="宋体"/>
          <w:kern w:val="0"/>
          <w:sz w:val="32"/>
          <w:szCs w:val="32"/>
        </w:rPr>
      </w:pPr>
      <w:r>
        <w:rPr>
          <w:rFonts w:hint="eastAsia" w:ascii="仿宋" w:hAnsi="仿宋" w:eastAsia="仿宋" w:cs="宋体"/>
          <w:b/>
          <w:kern w:val="0"/>
          <w:sz w:val="32"/>
          <w:szCs w:val="32"/>
          <w:lang w:bidi="ar"/>
        </w:rPr>
        <w:t>六</w:t>
      </w:r>
      <w:r>
        <w:rPr>
          <w:rFonts w:hint="eastAsia" w:ascii="仿宋" w:hAnsi="仿宋" w:eastAsia="仿宋" w:cs="宋体"/>
          <w:b/>
          <w:kern w:val="0"/>
          <w:sz w:val="32"/>
          <w:szCs w:val="32"/>
          <w:lang w:eastAsia="zh-CN" w:bidi="ar"/>
        </w:rPr>
        <w:t>、</w:t>
      </w:r>
      <w:r>
        <w:rPr>
          <w:rFonts w:hint="eastAsia" w:ascii="仿宋" w:hAnsi="仿宋" w:eastAsia="仿宋" w:cs="宋体"/>
          <w:b/>
          <w:kern w:val="0"/>
          <w:sz w:val="32"/>
          <w:szCs w:val="32"/>
          <w:lang w:bidi="ar"/>
        </w:rPr>
        <w:t>建立家长学校，发挥家庭在家庭教育中的主体地位。</w:t>
      </w:r>
      <w:r>
        <w:rPr>
          <w:rFonts w:hint="eastAsia" w:ascii="仿宋" w:hAnsi="仿宋" w:eastAsia="仿宋" w:cs="宋体"/>
          <w:kern w:val="0"/>
          <w:sz w:val="32"/>
          <w:szCs w:val="32"/>
          <w:lang w:bidi="ar"/>
        </w:rPr>
        <w:t>家庭教育是基础，教育孩子是父母或者其他监护人的法定职责。广大家长要树立正确的家教观念，了解掌握孩子不同年龄段的表现和成长特点，有针对性地对孩子进行良好教育，用心陪伴孩子快乐健康成长。建立家长学校，提升家长素质，提高育人水平通过定期举办家长培训讲座，通过优秀家长现身说法、案例教学，发挥优秀家庭示范带动作用，帮助家长掌握科学育人知识和树立先进教育理念。</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baseline"/>
        <w:rPr>
          <w:rFonts w:hint="eastAsia" w:ascii="仿宋" w:hAnsi="仿宋" w:eastAsia="仿宋" w:cs="宋体"/>
          <w:kern w:val="0"/>
          <w:sz w:val="32"/>
          <w:szCs w:val="32"/>
        </w:rPr>
      </w:pPr>
      <w:r>
        <w:rPr>
          <w:rFonts w:hint="eastAsia" w:ascii="仿宋" w:hAnsi="仿宋" w:eastAsia="仿宋" w:cs="宋体"/>
          <w:b/>
          <w:kern w:val="0"/>
          <w:sz w:val="32"/>
          <w:szCs w:val="32"/>
          <w:lang w:bidi="ar"/>
        </w:rPr>
        <w:t>七</w:t>
      </w:r>
      <w:r>
        <w:rPr>
          <w:rFonts w:hint="eastAsia" w:ascii="仿宋" w:hAnsi="仿宋" w:eastAsia="仿宋" w:cs="宋体"/>
          <w:b/>
          <w:kern w:val="0"/>
          <w:sz w:val="32"/>
          <w:szCs w:val="32"/>
          <w:lang w:eastAsia="zh-CN" w:bidi="ar"/>
        </w:rPr>
        <w:t>、</w:t>
      </w:r>
      <w:r>
        <w:rPr>
          <w:rFonts w:hint="eastAsia" w:ascii="仿宋" w:hAnsi="仿宋" w:eastAsia="仿宋" w:cs="宋体"/>
          <w:b/>
          <w:kern w:val="0"/>
          <w:sz w:val="32"/>
          <w:szCs w:val="32"/>
          <w:lang w:bidi="ar"/>
        </w:rPr>
        <w:t>发挥基层组织在家庭教育中的作用，使得家庭教育贯彻于各项工作中。</w:t>
      </w:r>
      <w:r>
        <w:rPr>
          <w:rFonts w:hint="eastAsia" w:ascii="仿宋" w:hAnsi="仿宋" w:eastAsia="仿宋" w:cs="宋体"/>
          <w:kern w:val="0"/>
          <w:sz w:val="32"/>
          <w:szCs w:val="32"/>
          <w:lang w:bidi="ar"/>
        </w:rPr>
        <w:t>各乡镇村的基层组织要注重发挥家庭家教育在基层社会治理中的重要作用，提高群众对家庭教育重要性的认识，在“常态”和“长效”上下功夫；在“重点”和“突破”上下功夫，关心和帮助广大农村家庭，发挥好基层“稳定器”“稳压阀”的作用。</w:t>
      </w:r>
    </w:p>
    <w:p>
      <w:pPr>
        <w:spacing w:line="560" w:lineRule="exact"/>
        <w:ind w:left="0" w:leftChars="0" w:firstLine="640" w:firstLineChars="200"/>
        <w:rPr>
          <w:rStyle w:val="19"/>
          <w:rFonts w:hint="eastAsia" w:ascii="仿宋_GB2312" w:hAnsi="宋体" w:eastAsia="仿宋_GB2312"/>
          <w:kern w:val="0"/>
          <w:sz w:val="32"/>
          <w:szCs w:val="32"/>
          <w:lang w:val="en-US" w:eastAsia="zh-CN"/>
        </w:rPr>
      </w:pPr>
      <w:r>
        <w:rPr>
          <w:rStyle w:val="19"/>
          <w:rFonts w:hint="eastAsia" w:ascii="仿宋_GB2312" w:hAnsi="宋体" w:eastAsia="仿宋_GB2312"/>
          <w:kern w:val="0"/>
          <w:sz w:val="32"/>
          <w:szCs w:val="32"/>
          <w:lang w:val="en-US" w:eastAsia="zh-CN"/>
        </w:rPr>
        <w:t>注：1、提案会办单位需将会办意见送主办单位，由主办单位连同《提案答复件》《征询意见表》一并抄送州政协；（涉及目标考核）</w:t>
      </w:r>
    </w:p>
    <w:p>
      <w:pPr>
        <w:spacing w:line="560" w:lineRule="exact"/>
        <w:ind w:left="0" w:leftChars="0" w:firstLine="640" w:firstLineChars="200"/>
        <w:rPr>
          <w:rStyle w:val="19"/>
          <w:rFonts w:hint="default" w:ascii="仿宋_GB2312" w:hAnsi="宋体" w:eastAsia="仿宋_GB2312"/>
          <w:kern w:val="0"/>
          <w:sz w:val="32"/>
          <w:szCs w:val="32"/>
          <w:lang w:val="en-US" w:eastAsia="zh-CN"/>
        </w:rPr>
      </w:pPr>
      <w:r>
        <w:rPr>
          <w:rStyle w:val="19"/>
          <w:rFonts w:hint="eastAsia" w:ascii="仿宋_GB2312" w:hAnsi="宋体" w:eastAsia="仿宋_GB2312"/>
          <w:kern w:val="0"/>
          <w:sz w:val="32"/>
          <w:szCs w:val="32"/>
          <w:lang w:val="en-US" w:eastAsia="zh-CN"/>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docPartObj>
        <w:docPartGallery w:val="autotext"/>
      </w:docPartObj>
    </w:sdtPr>
    <w:sdtContent>
      <w:p>
        <w:pPr>
          <w:pStyle w:val="10"/>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Style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C23FF"/>
    <w:multiLevelType w:val="multilevel"/>
    <w:tmpl w:val="1D6C23FF"/>
    <w:lvl w:ilvl="0" w:tentative="0">
      <w:start w:val="1"/>
      <w:numFmt w:val="chineseCounting"/>
      <w:suff w:val="nothing"/>
      <w:lvlText w:val="%1、"/>
      <w:lvlJc w:val="left"/>
      <w:pPr>
        <w:tabs>
          <w:tab w:val="left" w:pos="0"/>
        </w:tabs>
        <w:ind w:firstLine="40"/>
      </w:pPr>
      <w:rPr>
        <w:rFonts w:hint="eastAsia" w:ascii="Times New Roman" w:hAnsi="Times New Roman" w:eastAsia="黑体" w:cs="宋体"/>
        <w:sz w:val="32"/>
        <w:szCs w:val="32"/>
      </w:rPr>
    </w:lvl>
    <w:lvl w:ilvl="1" w:tentative="0">
      <w:start w:val="1"/>
      <w:numFmt w:val="chineseCounting"/>
      <w:suff w:val="nothing"/>
      <w:lvlText w:val="（%2）"/>
      <w:lvlJc w:val="left"/>
      <w:pPr>
        <w:tabs>
          <w:tab w:val="left" w:pos="0"/>
        </w:tabs>
      </w:pPr>
      <w:rPr>
        <w:rFonts w:hint="eastAsia" w:cs="Times New Roman"/>
      </w:rPr>
    </w:lvl>
    <w:lvl w:ilvl="2" w:tentative="0">
      <w:start w:val="1"/>
      <w:numFmt w:val="decimal"/>
      <w:pStyle w:val="4"/>
      <w:suff w:val="nothing"/>
      <w:lvlText w:val="%3．"/>
      <w:lvlJc w:val="left"/>
      <w:pPr>
        <w:ind w:firstLine="400"/>
      </w:pPr>
      <w:rPr>
        <w:rFonts w:hint="eastAsia" w:cs="Times New Roman"/>
      </w:rPr>
    </w:lvl>
    <w:lvl w:ilvl="3" w:tentative="0">
      <w:start w:val="1"/>
      <w:numFmt w:val="decimal"/>
      <w:suff w:val="nothing"/>
      <w:lvlText w:val="（%4）"/>
      <w:lvlJc w:val="left"/>
      <w:pPr>
        <w:ind w:firstLine="402"/>
      </w:pPr>
      <w:rPr>
        <w:rFonts w:hint="eastAsia" w:cs="Times New Roman"/>
      </w:rPr>
    </w:lvl>
    <w:lvl w:ilvl="4" w:tentative="0">
      <w:start w:val="1"/>
      <w:numFmt w:val="decimalEnclosedCircleChinese"/>
      <w:suff w:val="nothing"/>
      <w:lvlText w:val="%5"/>
      <w:lvlJc w:val="left"/>
      <w:pPr>
        <w:ind w:firstLine="402"/>
      </w:pPr>
      <w:rPr>
        <w:rFonts w:hint="eastAsia" w:cs="Times New Roman"/>
      </w:rPr>
    </w:lvl>
    <w:lvl w:ilvl="5" w:tentative="0">
      <w:start w:val="1"/>
      <w:numFmt w:val="decimal"/>
      <w:suff w:val="nothing"/>
      <w:lvlText w:val="%6）"/>
      <w:lvlJc w:val="left"/>
      <w:pPr>
        <w:ind w:firstLine="402"/>
      </w:pPr>
      <w:rPr>
        <w:rFonts w:hint="eastAsia" w:cs="Times New Roman"/>
      </w:rPr>
    </w:lvl>
    <w:lvl w:ilvl="6" w:tentative="0">
      <w:start w:val="1"/>
      <w:numFmt w:val="lowerLetter"/>
      <w:suff w:val="nothing"/>
      <w:lvlText w:val="%7．"/>
      <w:lvlJc w:val="left"/>
      <w:pPr>
        <w:ind w:firstLine="402"/>
      </w:pPr>
      <w:rPr>
        <w:rFonts w:hint="eastAsia" w:cs="Times New Roman"/>
      </w:rPr>
    </w:lvl>
    <w:lvl w:ilvl="7" w:tentative="0">
      <w:start w:val="1"/>
      <w:numFmt w:val="lowerLetter"/>
      <w:suff w:val="nothing"/>
      <w:lvlText w:val="%8）"/>
      <w:lvlJc w:val="left"/>
      <w:pPr>
        <w:ind w:firstLine="402"/>
      </w:pPr>
      <w:rPr>
        <w:rFonts w:hint="eastAsia" w:cs="Times New Roman"/>
      </w:rPr>
    </w:lvl>
    <w:lvl w:ilvl="8" w:tentative="0">
      <w:start w:val="1"/>
      <w:numFmt w:val="lowerRoman"/>
      <w:suff w:val="nothing"/>
      <w:lvlText w:val="%9 "/>
      <w:lvlJc w:val="left"/>
      <w:pPr>
        <w:ind w:firstLine="402"/>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1"/>
    <w:rsid w:val="00062089"/>
    <w:rsid w:val="002F6404"/>
    <w:rsid w:val="00372D70"/>
    <w:rsid w:val="004D0222"/>
    <w:rsid w:val="004E6BC5"/>
    <w:rsid w:val="00507FB8"/>
    <w:rsid w:val="00551F39"/>
    <w:rsid w:val="00554776"/>
    <w:rsid w:val="00654375"/>
    <w:rsid w:val="007055DB"/>
    <w:rsid w:val="007D1DFD"/>
    <w:rsid w:val="00840276"/>
    <w:rsid w:val="008A6967"/>
    <w:rsid w:val="008E32D7"/>
    <w:rsid w:val="008E5289"/>
    <w:rsid w:val="00A351EC"/>
    <w:rsid w:val="00A75BD7"/>
    <w:rsid w:val="00A94399"/>
    <w:rsid w:val="00A97C93"/>
    <w:rsid w:val="00C76ECC"/>
    <w:rsid w:val="00D123BF"/>
    <w:rsid w:val="00DD129A"/>
    <w:rsid w:val="00EA1493"/>
    <w:rsid w:val="00FB6911"/>
    <w:rsid w:val="00FF3F01"/>
    <w:rsid w:val="02021C21"/>
    <w:rsid w:val="06503351"/>
    <w:rsid w:val="07D26AFC"/>
    <w:rsid w:val="08B66956"/>
    <w:rsid w:val="10B40BCC"/>
    <w:rsid w:val="118823F2"/>
    <w:rsid w:val="18EC1E64"/>
    <w:rsid w:val="1BAB45FA"/>
    <w:rsid w:val="20E366FE"/>
    <w:rsid w:val="21EA0B57"/>
    <w:rsid w:val="29EB237C"/>
    <w:rsid w:val="2FD84B80"/>
    <w:rsid w:val="30B878C9"/>
    <w:rsid w:val="33552650"/>
    <w:rsid w:val="377737A4"/>
    <w:rsid w:val="38D60616"/>
    <w:rsid w:val="3A7B4D73"/>
    <w:rsid w:val="3BE7499D"/>
    <w:rsid w:val="3F1A5C90"/>
    <w:rsid w:val="3FFFB32C"/>
    <w:rsid w:val="42F10C9F"/>
    <w:rsid w:val="493508EE"/>
    <w:rsid w:val="497C7186"/>
    <w:rsid w:val="4A196944"/>
    <w:rsid w:val="4F1E6C2C"/>
    <w:rsid w:val="4F6B5D70"/>
    <w:rsid w:val="507F065A"/>
    <w:rsid w:val="5236789E"/>
    <w:rsid w:val="559F1A55"/>
    <w:rsid w:val="5A7C34BF"/>
    <w:rsid w:val="5AA17385"/>
    <w:rsid w:val="5B7C24C8"/>
    <w:rsid w:val="5E7C7E34"/>
    <w:rsid w:val="61895CCF"/>
    <w:rsid w:val="66F35DD9"/>
    <w:rsid w:val="6854075C"/>
    <w:rsid w:val="69A37ABB"/>
    <w:rsid w:val="6B6BD482"/>
    <w:rsid w:val="6B9B22E1"/>
    <w:rsid w:val="762A4BFD"/>
    <w:rsid w:val="7B7EC3A2"/>
    <w:rsid w:val="7C1F064D"/>
    <w:rsid w:val="7DBB9FDA"/>
    <w:rsid w:val="7E6E4452"/>
    <w:rsid w:val="7F3DD669"/>
    <w:rsid w:val="7FE0122B"/>
    <w:rsid w:val="7FFF2EBA"/>
    <w:rsid w:val="E1DB5338"/>
    <w:rsid w:val="EE7D4E26"/>
    <w:rsid w:val="FA87AF83"/>
    <w:rsid w:val="FEEF87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3"/>
    <w:basedOn w:val="1"/>
    <w:next w:val="1"/>
    <w:qFormat/>
    <w:uiPriority w:val="99"/>
    <w:pPr>
      <w:keepNext/>
      <w:keepLines/>
      <w:numPr>
        <w:ilvl w:val="2"/>
        <w:numId w:val="1"/>
      </w:numPr>
      <w:tabs>
        <w:tab w:val="left" w:pos="0"/>
      </w:tabs>
      <w:spacing w:line="413"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99"/>
    <w:pPr>
      <w:ind w:firstLine="200" w:firstLineChars="200"/>
    </w:pPr>
    <w:rPr>
      <w:rFonts w:ascii="Calibri" w:hAnsi="Calibri"/>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5">
    <w:name w:val="table of authorities"/>
    <w:basedOn w:val="1"/>
    <w:next w:val="1"/>
    <w:qFormat/>
    <w:uiPriority w:val="0"/>
    <w:pPr>
      <w:ind w:left="420" w:leftChars="200"/>
    </w:pPr>
    <w:rPr>
      <w:szCs w:val="20"/>
    </w:rPr>
  </w:style>
  <w:style w:type="paragraph" w:styleId="6">
    <w:name w:val="Body Text"/>
    <w:basedOn w:val="1"/>
    <w:next w:val="4"/>
    <w:qFormat/>
    <w:uiPriority w:val="99"/>
    <w:pPr>
      <w:spacing w:afterAutospacing="1"/>
      <w:ind w:left="101"/>
    </w:pPr>
    <w:rPr>
      <w:rFonts w:ascii="宋体" w:hAnsi="宋体"/>
      <w:sz w:val="29"/>
      <w:szCs w:val="29"/>
    </w:rPr>
  </w:style>
  <w:style w:type="paragraph" w:styleId="7">
    <w:name w:val="Body Text Indent"/>
    <w:basedOn w:val="1"/>
    <w:next w:val="6"/>
    <w:qFormat/>
    <w:uiPriority w:val="99"/>
    <w:pPr>
      <w:spacing w:after="120"/>
      <w:ind w:left="420" w:leftChars="200"/>
    </w:pPr>
  </w:style>
  <w:style w:type="paragraph" w:styleId="8">
    <w:name w:val="Body Text Indent 2"/>
    <w:basedOn w:val="1"/>
    <w:next w:val="9"/>
    <w:qFormat/>
    <w:uiPriority w:val="99"/>
    <w:pPr>
      <w:spacing w:after="120" w:line="480" w:lineRule="auto"/>
      <w:ind w:left="420" w:leftChars="200"/>
    </w:pPr>
  </w:style>
  <w:style w:type="paragraph" w:styleId="9">
    <w:name w:val="Body Text Indent 3"/>
    <w:basedOn w:val="1"/>
    <w:qFormat/>
    <w:uiPriority w:val="99"/>
    <w:pPr>
      <w:ind w:left="200" w:leftChars="200"/>
    </w:pPr>
    <w:rPr>
      <w:sz w:val="16"/>
    </w:rPr>
  </w:style>
  <w:style w:type="paragraph" w:styleId="10">
    <w:name w:val="footer"/>
    <w:basedOn w:val="1"/>
    <w:link w:val="29"/>
    <w:qFormat/>
    <w:uiPriority w:val="99"/>
    <w:pPr>
      <w:snapToGrid w:val="0"/>
      <w:jc w:val="left"/>
    </w:pPr>
    <w:rPr>
      <w:sz w:val="18"/>
      <w:szCs w:val="18"/>
    </w:rPr>
  </w:style>
  <w:style w:type="paragraph" w:styleId="11">
    <w:name w:val="header"/>
    <w:basedOn w:val="1"/>
    <w:qFormat/>
    <w:uiPriority w:val="0"/>
    <w:pPr>
      <w:pBdr>
        <w:bottom w:val="single" w:color="000000" w:sz="6" w:space="0"/>
      </w:pBdr>
      <w:snapToGrid w:val="0"/>
      <w:jc w:val="center"/>
    </w:pPr>
    <w:rPr>
      <w:sz w:val="18"/>
      <w:szCs w:val="18"/>
    </w:rPr>
  </w:style>
  <w:style w:type="paragraph" w:styleId="12">
    <w:name w:val="footnote text"/>
    <w:basedOn w:val="1"/>
    <w:semiHidden/>
    <w:qFormat/>
    <w:uiPriority w:val="0"/>
    <w:pPr>
      <w:snapToGrid w:val="0"/>
      <w:jc w:val="left"/>
    </w:pPr>
    <w:rPr>
      <w:sz w:val="18"/>
      <w:szCs w:val="18"/>
    </w:rPr>
  </w:style>
  <w:style w:type="paragraph" w:styleId="13">
    <w:name w:val="Normal (Web)"/>
    <w:basedOn w:val="1"/>
    <w:qFormat/>
    <w:uiPriority w:val="0"/>
    <w:pPr>
      <w:spacing w:beforeAutospacing="1" w:afterAutospacing="1"/>
      <w:jc w:val="left"/>
    </w:pPr>
    <w:rPr>
      <w:kern w:val="0"/>
      <w:sz w:val="24"/>
    </w:rPr>
  </w:style>
  <w:style w:type="paragraph" w:styleId="14">
    <w:name w:val="Body Text First Indent 2"/>
    <w:basedOn w:val="7"/>
    <w:next w:val="1"/>
    <w:qFormat/>
    <w:uiPriority w:val="99"/>
    <w:pPr>
      <w:ind w:left="0" w:leftChars="0" w:firstLine="880" w:firstLineChars="200"/>
    </w:pPr>
    <w:rPr>
      <w:rFonts w:eastAsia="仿宋_GB2312"/>
    </w:rPr>
  </w:style>
  <w:style w:type="character" w:styleId="17">
    <w:name w:val="Strong"/>
    <w:qFormat/>
    <w:uiPriority w:val="0"/>
    <w:rPr>
      <w:rFonts w:cs="Times New Roman"/>
      <w:b/>
      <w:bCs/>
    </w:rPr>
  </w:style>
  <w:style w:type="character" w:styleId="18">
    <w:name w:val="Hyperlink"/>
    <w:basedOn w:val="19"/>
    <w:semiHidden/>
    <w:qFormat/>
    <w:uiPriority w:val="0"/>
    <w:rPr>
      <w:color w:val="0000FF"/>
      <w:u w:val="single"/>
    </w:rPr>
  </w:style>
  <w:style w:type="character" w:customStyle="1" w:styleId="19">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0">
    <w:name w:val="Heading1"/>
    <w:basedOn w:val="1"/>
    <w:link w:val="26"/>
    <w:qFormat/>
    <w:uiPriority w:val="0"/>
    <w:pPr>
      <w:spacing w:before="100" w:beforeAutospacing="1" w:after="100" w:afterAutospacing="1"/>
      <w:jc w:val="left"/>
    </w:pPr>
    <w:rPr>
      <w:rFonts w:ascii="宋体" w:hAnsi="宋体" w:cs="宋体"/>
      <w:b/>
      <w:bCs/>
      <w:kern w:val="36"/>
      <w:sz w:val="48"/>
      <w:szCs w:val="48"/>
    </w:rPr>
  </w:style>
  <w:style w:type="table" w:customStyle="1" w:styleId="21">
    <w:name w:val="TableNormal"/>
    <w:semiHidden/>
    <w:qFormat/>
    <w:uiPriority w:val="0"/>
    <w:tblPr>
      <w:tblCellMar>
        <w:top w:w="0" w:type="dxa"/>
        <w:left w:w="0" w:type="dxa"/>
        <w:bottom w:w="0" w:type="dxa"/>
        <w:right w:w="0" w:type="dxa"/>
      </w:tblCellMar>
    </w:tblPr>
  </w:style>
  <w:style w:type="paragraph" w:customStyle="1" w:styleId="22">
    <w:name w:val="Acetate"/>
    <w:basedOn w:val="1"/>
    <w:qFormat/>
    <w:uiPriority w:val="0"/>
    <w:rPr>
      <w:sz w:val="18"/>
      <w:szCs w:val="18"/>
    </w:rPr>
  </w:style>
  <w:style w:type="paragraph" w:customStyle="1" w:styleId="23">
    <w:name w:val="UserStyle_0"/>
    <w:basedOn w:val="1"/>
    <w:next w:val="24"/>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24">
    <w:name w:val="UserStyle_1"/>
    <w:basedOn w:val="23"/>
    <w:next w:val="1"/>
    <w:qFormat/>
    <w:uiPriority w:val="0"/>
    <w:pPr>
      <w:spacing w:before="100" w:beforeAutospacing="1" w:after="100" w:afterAutospacing="1"/>
      <w:jc w:val="left"/>
    </w:pPr>
    <w:rPr>
      <w:rFonts w:ascii="黑体" w:hAnsi="宋体" w:eastAsia="黑体" w:cs="宋体"/>
      <w:kern w:val="0"/>
      <w:sz w:val="54"/>
      <w:szCs w:val="54"/>
    </w:rPr>
  </w:style>
  <w:style w:type="paragraph" w:customStyle="1" w:styleId="25">
    <w:name w:val="UserStyle_2"/>
    <w:basedOn w:val="1"/>
    <w:qFormat/>
    <w:uiPriority w:val="0"/>
    <w:pPr>
      <w:spacing w:before="100" w:beforeAutospacing="1" w:after="100" w:afterAutospacing="1"/>
      <w:jc w:val="left"/>
    </w:pPr>
    <w:rPr>
      <w:rFonts w:ascii="宋体" w:hAnsi="宋体"/>
      <w:kern w:val="0"/>
      <w:sz w:val="24"/>
    </w:rPr>
  </w:style>
  <w:style w:type="character" w:customStyle="1" w:styleId="26">
    <w:name w:val="UserStyle_3"/>
    <w:basedOn w:val="19"/>
    <w:link w:val="20"/>
    <w:qFormat/>
    <w:uiPriority w:val="0"/>
    <w:rPr>
      <w:rFonts w:ascii="宋体" w:hAnsi="宋体" w:cs="宋体"/>
      <w:b/>
      <w:bCs/>
      <w:kern w:val="36"/>
      <w:sz w:val="48"/>
      <w:szCs w:val="48"/>
    </w:rPr>
  </w:style>
  <w:style w:type="character" w:customStyle="1" w:styleId="27">
    <w:name w:val="UserStyle_4"/>
    <w:basedOn w:val="19"/>
    <w:qFormat/>
    <w:uiPriority w:val="0"/>
  </w:style>
  <w:style w:type="paragraph" w:customStyle="1" w:styleId="28">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29">
    <w:name w:val="页脚 Char"/>
    <w:basedOn w:val="16"/>
    <w:link w:val="10"/>
    <w:qFormat/>
    <w:uiPriority w:val="99"/>
    <w:rPr>
      <w:rFonts w:cstheme="minorBidi"/>
      <w:kern w:val="2"/>
      <w:sz w:val="18"/>
      <w:szCs w:val="18"/>
    </w:rPr>
  </w:style>
  <w:style w:type="paragraph" w:customStyle="1" w:styleId="30">
    <w:name w:val="Body text|2"/>
    <w:basedOn w:val="1"/>
    <w:qFormat/>
    <w:uiPriority w:val="0"/>
    <w:pPr>
      <w:spacing w:after="300"/>
      <w:ind w:firstLine="740"/>
    </w:pPr>
    <w:rPr>
      <w:rFonts w:ascii="宋体" w:hAnsi="宋体" w:cs="宋体"/>
      <w:sz w:val="26"/>
      <w:szCs w:val="26"/>
      <w:lang w:val="zh-TW" w:eastAsia="zh-TW" w:bidi="zh-TW"/>
    </w:rPr>
  </w:style>
  <w:style w:type="paragraph" w:customStyle="1" w:styleId="31">
    <w:name w:val="正文文本首行缩进 2"/>
    <w:basedOn w:val="7"/>
    <w:qFormat/>
    <w:uiPriority w:val="0"/>
    <w:pPr>
      <w:ind w:firstLine="420" w:firstLineChars="200"/>
    </w:pPr>
    <w:rPr>
      <w:rFonts w:ascii="Calibri" w:hAnsi="Calibri" w:eastAsia="宋体" w:cs="宋体"/>
    </w:rPr>
  </w:style>
  <w:style w:type="paragraph" w:customStyle="1" w:styleId="32">
    <w:name w:val="BodyText2"/>
    <w:basedOn w:val="1"/>
    <w:qFormat/>
    <w:uiPriority w:val="0"/>
    <w:pPr>
      <w:widowControl/>
      <w:spacing w:after="120" w:line="480" w:lineRule="auto"/>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307</Words>
  <Characters>1751</Characters>
  <Lines>14</Lines>
  <Paragraphs>4</Paragraphs>
  <TotalTime>3</TotalTime>
  <ScaleCrop>false</ScaleCrop>
  <LinksUpToDate>false</LinksUpToDate>
  <CharactersWithSpaces>2054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2021-01-13T12:51:00Z</dcterms:created>
  <dc:creator>Administrator</dc:creator>
  <cp:lastModifiedBy>丘丘</cp:lastModifiedBy>
  <cp:lastPrinted>2022-01-06T08:57:00Z</cp:lastPrinted>
  <dcterms:modified xsi:type="dcterms:W3CDTF">2022-01-08T06:34:05Z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0BEFFA9D6DA34548976C4312CA596319</vt:lpwstr>
  </property>
</Properties>
</file>