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spacing w:before="0" w:beforeAutospacing="0" w:after="0" w:afterAutospacing="0" w:line="600" w:lineRule="exact"/>
        <w:jc w:val="center"/>
        <w:rPr>
          <w:rStyle w:val="13"/>
          <w:rFonts w:ascii="黑体" w:eastAsia="黑体"/>
          <w:sz w:val="44"/>
          <w:szCs w:val="44"/>
        </w:rPr>
      </w:pPr>
      <w:r>
        <w:rPr>
          <w:rStyle w:val="11"/>
          <w:rFonts w:ascii="黑体" w:eastAsia="黑体" w:cs="宋体"/>
          <w:sz w:val="44"/>
          <w:szCs w:val="44"/>
        </w:rPr>
        <w:t>中国人民政治协商会</w:t>
      </w:r>
      <w:bookmarkStart w:id="0" w:name="_GoBack"/>
      <w:bookmarkEnd w:id="0"/>
      <w:r>
        <w:rPr>
          <w:rStyle w:val="11"/>
          <w:rFonts w:ascii="黑体" w:eastAsia="黑体" w:cs="宋体"/>
          <w:sz w:val="44"/>
          <w:szCs w:val="44"/>
        </w:rPr>
        <w:t>议</w:t>
      </w:r>
    </w:p>
    <w:p>
      <w:pPr>
        <w:pStyle w:val="19"/>
        <w:spacing w:before="0" w:beforeAutospacing="0" w:after="0" w:afterAutospacing="0" w:line="600" w:lineRule="exact"/>
        <w:jc w:val="center"/>
        <w:rPr>
          <w:rStyle w:val="13"/>
          <w:rFonts w:hint="eastAsia"/>
          <w:sz w:val="44"/>
          <w:szCs w:val="44"/>
        </w:rPr>
      </w:pPr>
      <w:r>
        <w:rPr>
          <w:rStyle w:val="13"/>
          <w:sz w:val="44"/>
          <w:szCs w:val="44"/>
        </w:rPr>
        <w:t>黔东南苗族侗族自治州委员会</w:t>
      </w:r>
    </w:p>
    <w:p>
      <w:pPr>
        <w:pStyle w:val="19"/>
        <w:spacing w:before="0" w:beforeAutospacing="0" w:after="0" w:afterAutospacing="0" w:line="600" w:lineRule="exact"/>
        <w:jc w:val="center"/>
        <w:rPr>
          <w:rStyle w:val="13"/>
          <w:rFonts w:hint="eastAsia"/>
          <w:sz w:val="44"/>
          <w:szCs w:val="44"/>
        </w:rPr>
      </w:pPr>
      <w:r>
        <w:rPr>
          <w:rStyle w:val="13"/>
          <w:sz w:val="44"/>
          <w:szCs w:val="44"/>
        </w:rPr>
        <w:t>提</w:t>
      </w:r>
      <w:r>
        <w:rPr>
          <w:rStyle w:val="13"/>
          <w:rFonts w:hint="eastAsia"/>
          <w:sz w:val="44"/>
          <w:szCs w:val="44"/>
        </w:rPr>
        <w:t xml:space="preserve">   </w:t>
      </w:r>
      <w:r>
        <w:rPr>
          <w:rStyle w:val="13"/>
          <w:sz w:val="44"/>
          <w:szCs w:val="44"/>
        </w:rPr>
        <w:t>案</w:t>
      </w:r>
    </w:p>
    <w:p>
      <w:pPr>
        <w:spacing w:line="320" w:lineRule="exact"/>
        <w:jc w:val="center"/>
        <w:textAlignment w:val="top"/>
        <w:rPr>
          <w:rStyle w:val="13"/>
          <w:rFonts w:hint="eastAsia" w:ascii="宋体" w:hAnsi="宋体"/>
          <w:kern w:val="0"/>
          <w:sz w:val="24"/>
        </w:rPr>
      </w:pPr>
    </w:p>
    <w:p>
      <w:pPr>
        <w:spacing w:line="320" w:lineRule="exact"/>
        <w:jc w:val="center"/>
        <w:textAlignment w:val="top"/>
        <w:rPr>
          <w:rStyle w:val="13"/>
          <w:rFonts w:hint="eastAsia" w:ascii="宋体" w:hAnsi="宋体"/>
          <w:kern w:val="0"/>
          <w:sz w:val="24"/>
        </w:rPr>
      </w:pPr>
    </w:p>
    <w:p>
      <w:pPr>
        <w:spacing w:line="760" w:lineRule="exact"/>
        <w:jc w:val="both"/>
        <w:textAlignment w:val="top"/>
        <w:rPr>
          <w:rStyle w:val="13"/>
          <w:rFonts w:ascii="宋体" w:hAnsi="宋体"/>
          <w:kern w:val="0"/>
          <w:sz w:val="24"/>
        </w:rPr>
      </w:pPr>
      <w:r>
        <w:rPr>
          <w:rStyle w:val="13"/>
          <w:rFonts w:ascii="宋体" w:hAnsi="宋体"/>
          <w:kern w:val="0"/>
          <w:sz w:val="24"/>
        </w:rPr>
        <mc:AlternateContent>
          <mc:Choice Requires="wps">
            <w:drawing>
              <wp:inline distT="0" distB="0" distL="114300" distR="114300">
                <wp:extent cx="5212080" cy="35560"/>
                <wp:effectExtent l="0" t="0" r="7620" b="2540"/>
                <wp:docPr id="1" name="矩形 1"/>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C+6oZl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320" w:lineRule="exact"/>
        <w:rPr>
          <w:rStyle w:val="13"/>
          <w:rFonts w:hint="default" w:ascii="宋体" w:hAnsi="宋体" w:eastAsia="宋体"/>
          <w:kern w:val="0"/>
          <w:sz w:val="24"/>
          <w:lang w:val="en-US" w:eastAsia="zh-CN"/>
        </w:rPr>
      </w:pPr>
      <w:r>
        <w:rPr>
          <w:rStyle w:val="13"/>
          <w:rFonts w:ascii="宋体" w:hAnsi="宋体"/>
          <w:kern w:val="0"/>
          <w:sz w:val="24"/>
        </w:rPr>
        <w:t>第十</w:t>
      </w:r>
      <w:r>
        <w:rPr>
          <w:rStyle w:val="13"/>
          <w:rFonts w:hint="eastAsia" w:ascii="宋体" w:hAnsi="宋体"/>
          <w:kern w:val="0"/>
          <w:sz w:val="24"/>
          <w:lang w:val="en-US" w:eastAsia="zh-CN"/>
        </w:rPr>
        <w:t>三</w:t>
      </w:r>
      <w:r>
        <w:rPr>
          <w:rStyle w:val="13"/>
          <w:rFonts w:ascii="宋体" w:hAnsi="宋体"/>
          <w:kern w:val="0"/>
          <w:sz w:val="24"/>
        </w:rPr>
        <w:t>届第</w:t>
      </w:r>
      <w:r>
        <w:rPr>
          <w:rStyle w:val="13"/>
          <w:rFonts w:hint="eastAsia" w:ascii="宋体" w:hAnsi="宋体"/>
          <w:kern w:val="0"/>
          <w:sz w:val="24"/>
          <w:lang w:val="en-US" w:eastAsia="zh-CN"/>
        </w:rPr>
        <w:t>一</w:t>
      </w:r>
      <w:r>
        <w:rPr>
          <w:rStyle w:val="13"/>
          <w:rFonts w:ascii="宋体" w:hAnsi="宋体"/>
          <w:kern w:val="0"/>
          <w:sz w:val="24"/>
        </w:rPr>
        <w:t>次会议　       　第</w:t>
      </w:r>
      <w:r>
        <w:rPr>
          <w:rStyle w:val="13"/>
          <w:rFonts w:hint="eastAsia" w:ascii="宋体" w:hAnsi="宋体"/>
          <w:kern w:val="0"/>
          <w:sz w:val="24"/>
          <w:lang w:val="en-US" w:eastAsia="zh-CN"/>
        </w:rPr>
        <w:t>191</w:t>
      </w:r>
      <w:r>
        <w:rPr>
          <w:rStyle w:val="13"/>
          <w:rFonts w:ascii="宋体" w:hAnsi="宋体"/>
          <w:kern w:val="0"/>
          <w:sz w:val="24"/>
        </w:rPr>
        <w:t xml:space="preserve">号　    </w:t>
      </w:r>
      <w:r>
        <w:rPr>
          <w:rStyle w:val="13"/>
          <w:rFonts w:hint="eastAsia" w:ascii="宋体" w:hAnsi="宋体"/>
          <w:kern w:val="0"/>
          <w:sz w:val="24"/>
        </w:rPr>
        <w:t xml:space="preserve">    </w:t>
      </w:r>
      <w:r>
        <w:rPr>
          <w:rStyle w:val="13"/>
          <w:rFonts w:hint="eastAsia" w:ascii="宋体" w:hAnsi="宋体"/>
          <w:kern w:val="0"/>
          <w:sz w:val="24"/>
          <w:lang w:val="en-US" w:eastAsia="zh-CN"/>
        </w:rPr>
        <w:t xml:space="preserve"> 类别：社会建设类     </w:t>
      </w:r>
    </w:p>
    <w:p>
      <w:pPr>
        <w:spacing w:line="320" w:lineRule="exact"/>
        <w:jc w:val="left"/>
        <w:rPr>
          <w:rStyle w:val="13"/>
          <w:rFonts w:ascii="宋体" w:hAnsi="宋体"/>
          <w:kern w:val="0"/>
          <w:sz w:val="24"/>
        </w:rPr>
      </w:pPr>
      <w:r>
        <w:rPr>
          <w:rStyle w:val="13"/>
          <w:rFonts w:ascii="宋体" w:hAnsi="宋体"/>
          <w:kern w:val="0"/>
          <w:sz w:val="24"/>
        </w:rPr>
        <mc:AlternateContent>
          <mc:Choice Requires="wps">
            <w:drawing>
              <wp:inline distT="0" distB="0" distL="114300" distR="114300">
                <wp:extent cx="5274945" cy="38100"/>
                <wp:effectExtent l="0" t="0" r="1905" b="0"/>
                <wp:docPr id="2" name="矩形 2"/>
                <wp:cNvGraphicFramePr/>
                <a:graphic xmlns:a="http://schemas.openxmlformats.org/drawingml/2006/main">
                  <a:graphicData uri="http://schemas.microsoft.com/office/word/2010/wordprocessingShape">
                    <wps:wsp>
                      <wps:cNvSpPr/>
                      <wps:spPr>
                        <a:xfrm>
                          <a:off x="0" y="0"/>
                          <a:ext cx="5274945" cy="3810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3pt;width:415.35pt;" fillcolor="#ACA899" filled="t" stroked="f" coordsize="21600,21600" o:gfxdata="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MVtO0wAAAAMBAAAPAAAAAAAAAAEAIAAAACIAAABkcnMvZG93bnJldi54bWxQSwEC&#10;FAAUAAAACACHTuJApo3SZ8ABAAB3AwAADgAAAAAAAAABACAAAAAiAQAAZHJzL2Uyb0RvYy54bWxQ&#10;SwUGAAAAAAYABgBZAQAAVAUAAAAA&#10;">
                <v:fill on="t" focussize="0,0"/>
                <v:stroke on="f"/>
                <v:imagedata o:title=""/>
                <o:lock v:ext="edit" aspectratio="f"/>
                <v:textbox>
                  <w:txbxContent>
                    <w:p/>
                  </w:txbxContent>
                </v:textbox>
                <w10:wrap type="none"/>
                <w10:anchorlock/>
              </v:rect>
            </w:pict>
          </mc:Fallback>
        </mc:AlternateContent>
      </w:r>
    </w:p>
    <w:tbl>
      <w:tblPr>
        <w:tblStyle w:val="9"/>
        <w:tblW w:w="8550" w:type="dxa"/>
        <w:tblInd w:w="0" w:type="dxa"/>
        <w:tblLayout w:type="fixed"/>
        <w:tblCellMar>
          <w:top w:w="0" w:type="dxa"/>
          <w:left w:w="15" w:type="dxa"/>
          <w:bottom w:w="0" w:type="dxa"/>
          <w:right w:w="15" w:type="dxa"/>
        </w:tblCellMar>
      </w:tblPr>
      <w:tblGrid>
        <w:gridCol w:w="1753"/>
        <w:gridCol w:w="3872"/>
        <w:gridCol w:w="1440"/>
        <w:gridCol w:w="1485"/>
      </w:tblGrid>
      <w:tr>
        <w:tblPrEx>
          <w:tblCellMar>
            <w:top w:w="0" w:type="dxa"/>
            <w:left w:w="15" w:type="dxa"/>
            <w:bottom w:w="0" w:type="dxa"/>
            <w:right w:w="15" w:type="dxa"/>
          </w:tblCellMar>
        </w:tblPrEx>
        <w:tc>
          <w:tcPr>
            <w:tcW w:w="1753" w:type="dxa"/>
            <w:vAlign w:val="center"/>
          </w:tcPr>
          <w:p>
            <w:pPr>
              <w:jc w:val="left"/>
              <w:rPr>
                <w:rStyle w:val="13"/>
                <w:rFonts w:ascii="宋体" w:hAnsi="宋体"/>
                <w:kern w:val="0"/>
                <w:sz w:val="24"/>
              </w:rPr>
            </w:pPr>
            <w:r>
              <w:rPr>
                <w:rStyle w:val="13"/>
                <w:rFonts w:ascii="黑体" w:hAnsi="宋体" w:eastAsia="黑体" w:cs="宋体"/>
                <w:b/>
                <w:bCs/>
                <w:kern w:val="0"/>
                <w:sz w:val="24"/>
              </w:rPr>
              <w:t>案</w:t>
            </w:r>
            <w:r>
              <w:rPr>
                <w:rStyle w:val="13"/>
                <w:rFonts w:ascii="宋体" w:hAnsi="宋体" w:eastAsia="黑体" w:cs="宋体"/>
                <w:b/>
                <w:bCs/>
                <w:kern w:val="0"/>
                <w:sz w:val="24"/>
              </w:rPr>
              <w:t>  </w:t>
            </w:r>
            <w:r>
              <w:rPr>
                <w:rStyle w:val="13"/>
                <w:rFonts w:ascii="黑体" w:hAnsi="宋体" w:eastAsia="黑体" w:cs="宋体"/>
                <w:b/>
                <w:bCs/>
                <w:kern w:val="0"/>
                <w:sz w:val="24"/>
              </w:rPr>
              <w:t>由</w:t>
            </w:r>
            <w:r>
              <w:rPr>
                <w:rStyle w:val="13"/>
                <w:rFonts w:ascii="宋体" w:hAnsi="宋体" w:cs="宋体"/>
                <w:b/>
                <w:bCs/>
                <w:kern w:val="0"/>
                <w:sz w:val="24"/>
              </w:rPr>
              <w:t>：</w:t>
            </w:r>
          </w:p>
        </w:tc>
        <w:tc>
          <w:tcPr>
            <w:tcW w:w="6797" w:type="dxa"/>
            <w:gridSpan w:val="3"/>
            <w:vAlign w:val="center"/>
          </w:tcPr>
          <w:p>
            <w:pPr>
              <w:jc w:val="left"/>
              <w:rPr>
                <w:rStyle w:val="13"/>
                <w:rFonts w:hint="eastAsia" w:ascii="宋体" w:hAnsi="宋体" w:eastAsia="宋体" w:cs="宋体"/>
                <w:b/>
                <w:bCs/>
                <w:kern w:val="0"/>
                <w:sz w:val="24"/>
                <w:lang w:eastAsia="zh-CN"/>
              </w:rPr>
            </w:pPr>
            <w:r>
              <w:rPr>
                <w:rFonts w:hint="eastAsia"/>
              </w:rPr>
              <w:t>关于建立视力信息化防控平台的</w:t>
            </w:r>
            <w:r>
              <w:rPr>
                <w:rFonts w:hint="eastAsia"/>
                <w:lang w:eastAsia="zh-CN"/>
              </w:rPr>
              <w:t>建议</w:t>
            </w:r>
          </w:p>
        </w:tc>
      </w:tr>
      <w:tr>
        <w:tblPrEx>
          <w:tblCellMar>
            <w:top w:w="0" w:type="dxa"/>
            <w:left w:w="15" w:type="dxa"/>
            <w:bottom w:w="0" w:type="dxa"/>
            <w:right w:w="15" w:type="dxa"/>
          </w:tblCellMar>
        </w:tblPrEx>
        <w:tc>
          <w:tcPr>
            <w:tcW w:w="1753" w:type="dxa"/>
            <w:vAlign w:val="center"/>
          </w:tcPr>
          <w:p>
            <w:pPr>
              <w:jc w:val="left"/>
              <w:rPr>
                <w:rStyle w:val="13"/>
                <w:rFonts w:ascii="宋体" w:hAnsi="宋体"/>
                <w:kern w:val="0"/>
                <w:sz w:val="24"/>
              </w:rPr>
            </w:pPr>
            <w:r>
              <w:rPr>
                <w:rStyle w:val="13"/>
                <w:rFonts w:ascii="黑体" w:hAnsi="宋体" w:eastAsia="黑体" w:cs="宋体"/>
                <w:b/>
                <w:bCs/>
                <w:kern w:val="0"/>
                <w:sz w:val="24"/>
              </w:rPr>
              <w:t>审查意见</w:t>
            </w:r>
            <w:r>
              <w:rPr>
                <w:rStyle w:val="13"/>
                <w:rFonts w:ascii="宋体" w:hAnsi="宋体" w:cs="宋体"/>
                <w:b/>
                <w:bCs/>
                <w:kern w:val="0"/>
                <w:sz w:val="24"/>
              </w:rPr>
              <w:t>：</w:t>
            </w:r>
          </w:p>
        </w:tc>
        <w:tc>
          <w:tcPr>
            <w:tcW w:w="6797" w:type="dxa"/>
            <w:gridSpan w:val="3"/>
            <w:vAlign w:val="center"/>
          </w:tcPr>
          <w:p>
            <w:pPr>
              <w:jc w:val="left"/>
              <w:rPr>
                <w:rStyle w:val="13"/>
                <w:rFonts w:hint="default" w:ascii="宋体" w:hAnsi="宋体"/>
                <w:kern w:val="0"/>
                <w:sz w:val="24"/>
                <w:lang w:val="en-US" w:eastAsia="zh-CN"/>
              </w:rPr>
            </w:pPr>
            <w:r>
              <w:rPr>
                <w:rStyle w:val="13"/>
                <w:rFonts w:hint="eastAsia" w:ascii="宋体" w:hAnsi="宋体"/>
                <w:kern w:val="0"/>
                <w:sz w:val="24"/>
                <w:lang w:eastAsia="zh-CN"/>
              </w:rPr>
              <w:t>主办：</w:t>
            </w:r>
            <w:r>
              <w:rPr>
                <w:rStyle w:val="13"/>
                <w:rFonts w:hint="eastAsia" w:ascii="宋体" w:hAnsi="宋体"/>
                <w:kern w:val="0"/>
                <w:sz w:val="24"/>
                <w:lang w:val="en-US" w:eastAsia="zh-CN"/>
              </w:rPr>
              <w:t>州教育局  会办：州委宣传部、州卫健局</w:t>
            </w:r>
          </w:p>
        </w:tc>
      </w:tr>
      <w:tr>
        <w:tblPrEx>
          <w:tblCellMar>
            <w:top w:w="0" w:type="dxa"/>
            <w:left w:w="15" w:type="dxa"/>
            <w:bottom w:w="0" w:type="dxa"/>
            <w:right w:w="15" w:type="dxa"/>
          </w:tblCellMar>
        </w:tblPrEx>
        <w:tc>
          <w:tcPr>
            <w:tcW w:w="1753" w:type="dxa"/>
            <w:vAlign w:val="center"/>
          </w:tcPr>
          <w:p>
            <w:pPr>
              <w:jc w:val="left"/>
              <w:rPr>
                <w:rStyle w:val="13"/>
                <w:rFonts w:ascii="黑体" w:hAnsi="宋体" w:eastAsia="黑体"/>
                <w:kern w:val="0"/>
                <w:sz w:val="24"/>
              </w:rPr>
            </w:pPr>
            <w:r>
              <w:rPr>
                <w:rStyle w:val="13"/>
                <w:rFonts w:ascii="黑体" w:hAnsi="宋体" w:eastAsia="黑体" w:cs="宋体"/>
                <w:b/>
                <w:bCs/>
                <w:kern w:val="0"/>
                <w:sz w:val="24"/>
              </w:rPr>
              <w:t>提</w:t>
            </w:r>
            <w:r>
              <w:rPr>
                <w:rStyle w:val="13"/>
                <w:rFonts w:hint="eastAsia" w:ascii="黑体" w:hAnsi="宋体" w:eastAsia="黑体" w:cs="宋体"/>
                <w:b/>
                <w:bCs/>
                <w:kern w:val="0"/>
                <w:sz w:val="24"/>
                <w:lang w:val="en-US" w:eastAsia="zh-CN"/>
              </w:rPr>
              <w:t xml:space="preserve"> </w:t>
            </w:r>
            <w:r>
              <w:rPr>
                <w:rStyle w:val="13"/>
                <w:rFonts w:ascii="黑体" w:hAnsi="宋体" w:eastAsia="黑体" w:cs="宋体"/>
                <w:b/>
                <w:bCs/>
                <w:kern w:val="0"/>
                <w:sz w:val="24"/>
              </w:rPr>
              <w:t>案</w:t>
            </w:r>
            <w:r>
              <w:rPr>
                <w:rStyle w:val="13"/>
                <w:rFonts w:hint="eastAsia" w:ascii="黑体" w:hAnsi="宋体" w:eastAsia="黑体" w:cs="宋体"/>
                <w:b/>
                <w:bCs/>
                <w:kern w:val="0"/>
                <w:sz w:val="24"/>
                <w:lang w:val="en-US" w:eastAsia="zh-CN"/>
              </w:rPr>
              <w:t xml:space="preserve"> </w:t>
            </w:r>
            <w:r>
              <w:rPr>
                <w:rStyle w:val="13"/>
                <w:rFonts w:ascii="黑体" w:hAnsi="宋体" w:eastAsia="黑体" w:cs="宋体"/>
                <w:b/>
                <w:bCs/>
                <w:kern w:val="0"/>
                <w:sz w:val="24"/>
              </w:rPr>
              <w:t>人</w:t>
            </w:r>
            <w:r>
              <w:rPr>
                <w:rStyle w:val="13"/>
                <w:rFonts w:ascii="宋体" w:hAnsi="宋体" w:eastAsia="黑体" w:cs="宋体"/>
                <w:b/>
                <w:bCs/>
                <w:kern w:val="0"/>
                <w:sz w:val="24"/>
              </w:rPr>
              <w:t>：</w:t>
            </w:r>
          </w:p>
        </w:tc>
        <w:tc>
          <w:tcPr>
            <w:tcW w:w="3872" w:type="dxa"/>
            <w:vAlign w:val="center"/>
          </w:tcPr>
          <w:p>
            <w:pPr>
              <w:jc w:val="left"/>
              <w:rPr>
                <w:rStyle w:val="13"/>
                <w:rFonts w:ascii="宋体" w:hAnsi="宋体"/>
                <w:kern w:val="0"/>
                <w:sz w:val="24"/>
              </w:rPr>
            </w:pPr>
            <w:r>
              <w:rPr>
                <w:rStyle w:val="13"/>
                <w:rFonts w:ascii="宋体" w:hAnsi="宋体" w:cs="宋体"/>
                <w:b/>
                <w:bCs/>
                <w:kern w:val="0"/>
                <w:sz w:val="24"/>
              </w:rPr>
              <w:t>通讯地址</w:t>
            </w:r>
          </w:p>
        </w:tc>
        <w:tc>
          <w:tcPr>
            <w:tcW w:w="1440" w:type="dxa"/>
            <w:vAlign w:val="center"/>
          </w:tcPr>
          <w:p>
            <w:pPr>
              <w:jc w:val="left"/>
              <w:rPr>
                <w:rStyle w:val="13"/>
                <w:rFonts w:ascii="宋体" w:hAnsi="宋体"/>
                <w:kern w:val="0"/>
                <w:sz w:val="24"/>
              </w:rPr>
            </w:pPr>
            <w:r>
              <w:rPr>
                <w:rStyle w:val="13"/>
                <w:rFonts w:ascii="宋体" w:hAnsi="宋体" w:cs="宋体"/>
                <w:b/>
                <w:bCs/>
                <w:kern w:val="0"/>
                <w:sz w:val="24"/>
              </w:rPr>
              <w:t>邮政编码</w:t>
            </w:r>
          </w:p>
        </w:tc>
        <w:tc>
          <w:tcPr>
            <w:tcW w:w="1485" w:type="dxa"/>
            <w:vAlign w:val="center"/>
          </w:tcPr>
          <w:p>
            <w:pPr>
              <w:jc w:val="left"/>
              <w:rPr>
                <w:rStyle w:val="13"/>
                <w:rFonts w:ascii="宋体" w:hAnsi="宋体"/>
                <w:kern w:val="0"/>
                <w:sz w:val="24"/>
              </w:rPr>
            </w:pPr>
            <w:r>
              <w:rPr>
                <w:rStyle w:val="13"/>
                <w:rFonts w:ascii="宋体" w:hAnsi="宋体" w:cs="宋体"/>
                <w:b/>
                <w:bCs/>
                <w:kern w:val="0"/>
                <w:sz w:val="24"/>
              </w:rPr>
              <w:t>联系电话</w:t>
            </w:r>
          </w:p>
        </w:tc>
      </w:tr>
      <w:tr>
        <w:tblPrEx>
          <w:tblCellMar>
            <w:top w:w="0" w:type="dxa"/>
            <w:left w:w="15" w:type="dxa"/>
            <w:bottom w:w="0" w:type="dxa"/>
            <w:right w:w="15" w:type="dxa"/>
          </w:tblCellMar>
        </w:tblPrEx>
        <w:tc>
          <w:tcPr>
            <w:tcW w:w="1753" w:type="dxa"/>
            <w:vAlign w:val="center"/>
          </w:tcPr>
          <w:p>
            <w:pPr>
              <w:pStyle w:val="4"/>
              <w:ind w:left="0" w:leftChars="0" w:firstLine="0" w:firstLineChars="0"/>
              <w:rPr>
                <w:rFonts w:hint="eastAsia" w:eastAsia="宋体"/>
                <w:lang w:eastAsia="zh-CN"/>
              </w:rPr>
            </w:pPr>
            <w:r>
              <w:rPr>
                <w:rFonts w:hint="eastAsia" w:eastAsia="宋体"/>
                <w:lang w:eastAsia="zh-CN"/>
              </w:rPr>
              <w:t>张晓慧</w:t>
            </w:r>
          </w:p>
        </w:tc>
        <w:tc>
          <w:tcPr>
            <w:tcW w:w="3872" w:type="dxa"/>
            <w:vAlign w:val="center"/>
          </w:tcPr>
          <w:p>
            <w:pPr>
              <w:jc w:val="left"/>
              <w:rPr>
                <w:rStyle w:val="13"/>
                <w:rFonts w:hint="eastAsia" w:ascii="宋体" w:hAnsi="宋体" w:eastAsia="宋体"/>
                <w:kern w:val="0"/>
                <w:sz w:val="24"/>
                <w:lang w:val="en-US" w:eastAsia="zh-CN"/>
              </w:rPr>
            </w:pPr>
            <w:r>
              <w:rPr>
                <w:rFonts w:hint="eastAsia"/>
              </w:rPr>
              <w:t>贵州苗疆蜂业科技发展有限公司</w:t>
            </w:r>
          </w:p>
        </w:tc>
        <w:tc>
          <w:tcPr>
            <w:tcW w:w="1440" w:type="dxa"/>
            <w:vAlign w:val="center"/>
          </w:tcPr>
          <w:p>
            <w:pPr>
              <w:jc w:val="left"/>
              <w:rPr>
                <w:rStyle w:val="13"/>
                <w:rFonts w:hint="default" w:ascii="宋体" w:hAnsi="宋体" w:eastAsia="宋体"/>
                <w:kern w:val="0"/>
                <w:sz w:val="24"/>
                <w:lang w:val="en-US" w:eastAsia="zh-CN"/>
              </w:rPr>
            </w:pPr>
            <w:r>
              <w:rPr>
                <w:rStyle w:val="13"/>
                <w:rFonts w:hint="eastAsia" w:ascii="宋体" w:hAnsi="宋体"/>
                <w:kern w:val="0"/>
                <w:sz w:val="24"/>
                <w:lang w:val="en-US" w:eastAsia="zh-CN"/>
              </w:rPr>
              <w:t>556000</w:t>
            </w:r>
          </w:p>
        </w:tc>
        <w:tc>
          <w:tcPr>
            <w:tcW w:w="1485" w:type="dxa"/>
            <w:vAlign w:val="center"/>
          </w:tcPr>
          <w:p>
            <w:pPr>
              <w:jc w:val="left"/>
              <w:rPr>
                <w:rFonts w:hint="default"/>
                <w:lang w:val="en-US" w:eastAsia="zh-CN"/>
              </w:rPr>
            </w:pPr>
            <w:r>
              <w:rPr>
                <w:rFonts w:hint="eastAsia"/>
              </w:rPr>
              <w:t>13595010998</w:t>
            </w:r>
          </w:p>
        </w:tc>
      </w:tr>
      <w:tr>
        <w:tblPrEx>
          <w:tblCellMar>
            <w:top w:w="0" w:type="dxa"/>
            <w:left w:w="15" w:type="dxa"/>
            <w:bottom w:w="0" w:type="dxa"/>
            <w:right w:w="15" w:type="dxa"/>
          </w:tblCellMar>
        </w:tblPrEx>
        <w:tc>
          <w:tcPr>
            <w:tcW w:w="1753" w:type="dxa"/>
            <w:vAlign w:val="center"/>
          </w:tcPr>
          <w:p>
            <w:pPr>
              <w:jc w:val="left"/>
              <w:rPr>
                <w:rStyle w:val="13"/>
                <w:rFonts w:hint="eastAsia" w:ascii="宋体" w:hAnsi="宋体" w:eastAsia="宋体"/>
                <w:kern w:val="0"/>
                <w:sz w:val="24"/>
                <w:lang w:eastAsia="zh-CN"/>
              </w:rPr>
            </w:pPr>
            <w:r>
              <w:rPr>
                <w:rStyle w:val="13"/>
                <w:rFonts w:hint="eastAsia" w:ascii="黑体" w:hAnsi="宋体" w:eastAsia="黑体" w:cs="宋体"/>
                <w:b/>
                <w:bCs/>
                <w:kern w:val="0"/>
                <w:sz w:val="24"/>
                <w:szCs w:val="22"/>
                <w:lang w:eastAsia="zh-CN"/>
              </w:rPr>
              <w:t>工作联系电话：</w:t>
            </w:r>
          </w:p>
        </w:tc>
        <w:tc>
          <w:tcPr>
            <w:tcW w:w="6797" w:type="dxa"/>
            <w:gridSpan w:val="3"/>
            <w:vAlign w:val="center"/>
          </w:tcPr>
          <w:p>
            <w:pPr>
              <w:jc w:val="left"/>
              <w:rPr>
                <w:rStyle w:val="13"/>
                <w:rFonts w:hint="eastAsia" w:ascii="宋体" w:hAnsi="宋体"/>
                <w:kern w:val="0"/>
                <w:sz w:val="24"/>
                <w:lang w:val="en-US" w:eastAsia="zh-CN"/>
              </w:rPr>
            </w:pPr>
            <w:r>
              <w:rPr>
                <w:rStyle w:val="13"/>
                <w:rFonts w:hint="eastAsia" w:ascii="宋体" w:hAnsi="宋体"/>
                <w:kern w:val="0"/>
                <w:sz w:val="24"/>
                <w:lang w:eastAsia="zh-CN"/>
              </w:rPr>
              <w:t>州委办秘书五科：</w:t>
            </w:r>
            <w:r>
              <w:rPr>
                <w:rStyle w:val="13"/>
                <w:rFonts w:hint="eastAsia" w:ascii="宋体" w:hAnsi="宋体"/>
                <w:kern w:val="0"/>
                <w:sz w:val="24"/>
                <w:lang w:val="en-US" w:eastAsia="zh-CN"/>
              </w:rPr>
              <w:t>8270060；</w:t>
            </w:r>
            <w:r>
              <w:rPr>
                <w:rStyle w:val="13"/>
                <w:rFonts w:hint="eastAsia" w:ascii="宋体" w:hAnsi="宋体"/>
                <w:kern w:val="0"/>
                <w:sz w:val="24"/>
                <w:lang w:eastAsia="zh-CN"/>
              </w:rPr>
              <w:t>州政府办建议提案科：</w:t>
            </w:r>
            <w:r>
              <w:rPr>
                <w:rStyle w:val="13"/>
                <w:rFonts w:hint="eastAsia" w:ascii="宋体" w:hAnsi="宋体"/>
                <w:kern w:val="0"/>
                <w:sz w:val="24"/>
                <w:lang w:val="en-US" w:eastAsia="zh-CN"/>
              </w:rPr>
              <w:t>8260016；</w:t>
            </w:r>
          </w:p>
          <w:p>
            <w:pPr>
              <w:jc w:val="left"/>
              <w:rPr>
                <w:rStyle w:val="13"/>
                <w:rFonts w:hint="default" w:ascii="宋体" w:hAnsi="宋体"/>
                <w:kern w:val="0"/>
                <w:sz w:val="24"/>
                <w:lang w:val="en-US"/>
              </w:rPr>
            </w:pPr>
            <w:r>
              <w:rPr>
                <w:rStyle w:val="13"/>
                <w:rFonts w:hint="eastAsia" w:ascii="宋体" w:hAnsi="宋体"/>
                <w:kern w:val="0"/>
                <w:sz w:val="24"/>
                <w:lang w:eastAsia="zh-CN"/>
              </w:rPr>
              <w:t>州政协提案委：</w:t>
            </w:r>
            <w:r>
              <w:rPr>
                <w:rStyle w:val="13"/>
                <w:rFonts w:hint="eastAsia" w:ascii="宋体" w:hAnsi="宋体"/>
                <w:kern w:val="0"/>
                <w:sz w:val="24"/>
                <w:lang w:val="en-US" w:eastAsia="zh-CN"/>
              </w:rPr>
              <w:t>8428866</w:t>
            </w:r>
            <w:r>
              <w:rPr>
                <w:rStyle w:val="13"/>
                <w:rFonts w:hint="eastAsia" w:ascii="宋体" w:hAnsi="宋体"/>
                <w:kern w:val="0"/>
                <w:sz w:val="24"/>
                <w:lang w:eastAsia="zh-CN"/>
              </w:rPr>
              <w:t>。</w:t>
            </w:r>
          </w:p>
        </w:tc>
      </w:tr>
    </w:tbl>
    <w:p>
      <w:pPr>
        <w:jc w:val="left"/>
        <w:rPr>
          <w:rStyle w:val="13"/>
          <w:rFonts w:ascii="宋体" w:hAnsi="宋体"/>
          <w:kern w:val="0"/>
          <w:sz w:val="24"/>
        </w:rPr>
      </w:pPr>
      <w:r>
        <w:rPr>
          <w:rStyle w:val="13"/>
          <w:rFonts w:ascii="宋体" w:hAnsi="宋体"/>
          <w:kern w:val="0"/>
          <w:sz w:val="24"/>
        </w:rPr>
        <mc:AlternateContent>
          <mc:Choice Requires="wps">
            <w:drawing>
              <wp:inline distT="0" distB="0" distL="114300" distR="114300">
                <wp:extent cx="5212080" cy="35560"/>
                <wp:effectExtent l="0" t="0" r="7620" b="2540"/>
                <wp:docPr id="3" name="矩形 3"/>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BCLY2x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baseline"/>
        <w:rPr>
          <w:rStyle w:val="13"/>
          <w:rFonts w:hint="eastAsia" w:ascii="仿宋_GB2312" w:hAnsi="宋体" w:eastAsia="仿宋_GB2312"/>
          <w:kern w:val="0"/>
          <w:sz w:val="32"/>
          <w:szCs w:val="32"/>
        </w:rPr>
      </w:pPr>
      <w:r>
        <w:rPr>
          <w:rStyle w:val="13"/>
          <w:rFonts w:hint="eastAsia" w:ascii="仿宋_GB2312" w:hAnsi="宋体" w:eastAsia="仿宋_GB2312"/>
          <w:kern w:val="0"/>
          <w:sz w:val="32"/>
          <w:szCs w:val="32"/>
        </w:rPr>
        <w:t>内容和办法</w:t>
      </w:r>
      <w:r>
        <w:rPr>
          <w:rStyle w:val="13"/>
          <w:rFonts w:hint="eastAsia" w:ascii="仿宋_GB2312" w:hAnsi="宋体" w:eastAsia="仿宋_GB2312"/>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Style w:val="13"/>
          <w:rFonts w:hint="eastAsia" w:ascii="仿宋" w:hAnsi="仿宋" w:eastAsia="仿宋" w:cs="仿宋"/>
          <w:kern w:val="0"/>
          <w:sz w:val="32"/>
          <w:szCs w:val="32"/>
          <w:lang w:val="en-US" w:eastAsia="zh-CN"/>
        </w:rPr>
      </w:pPr>
      <w:r>
        <w:rPr>
          <w:rStyle w:val="13"/>
          <w:rFonts w:hint="eastAsia" w:ascii="仿宋" w:hAnsi="仿宋" w:eastAsia="仿宋" w:cs="仿宋"/>
          <w:kern w:val="0"/>
          <w:sz w:val="32"/>
          <w:szCs w:val="32"/>
          <w:lang w:val="en-US" w:eastAsia="zh-CN"/>
        </w:rPr>
        <w:t>近年来，儿童、青少年近视呈现高发，随着手机、电脑等电子产品的普及，近视低龄化、重度化的趋势越来越明显，严重影响孩子们的身心健康，成为了困扰儿童青少年、家庭、学校、社会的重大公共卫生问题。</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Style w:val="13"/>
          <w:rFonts w:hint="eastAsia" w:ascii="黑体" w:hAnsi="黑体" w:eastAsia="黑体" w:cs="黑体"/>
          <w:kern w:val="0"/>
          <w:sz w:val="32"/>
          <w:szCs w:val="32"/>
          <w:lang w:val="en-US" w:eastAsia="zh-CN"/>
        </w:rPr>
      </w:pPr>
      <w:r>
        <w:rPr>
          <w:rStyle w:val="13"/>
          <w:rFonts w:hint="eastAsia" w:ascii="黑体" w:hAnsi="黑体" w:eastAsia="黑体" w:cs="黑体"/>
          <w:kern w:val="0"/>
          <w:sz w:val="32"/>
          <w:szCs w:val="32"/>
          <w:lang w:val="en-US" w:eastAsia="zh-CN"/>
        </w:rPr>
        <w:t>一、存在问题</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Style w:val="13"/>
          <w:rFonts w:hint="eastAsia" w:ascii="仿宋" w:hAnsi="仿宋" w:eastAsia="仿宋" w:cs="仿宋"/>
          <w:kern w:val="0"/>
          <w:sz w:val="32"/>
          <w:szCs w:val="32"/>
          <w:lang w:val="en-US" w:eastAsia="zh-CN"/>
        </w:rPr>
      </w:pPr>
      <w:r>
        <w:rPr>
          <w:rStyle w:val="13"/>
          <w:rFonts w:hint="eastAsia" w:ascii="仿宋" w:hAnsi="仿宋" w:eastAsia="仿宋" w:cs="仿宋"/>
          <w:kern w:val="0"/>
          <w:sz w:val="32"/>
          <w:szCs w:val="32"/>
          <w:lang w:val="en-US" w:eastAsia="zh-CN"/>
        </w:rPr>
        <w:t>黔东南州近视低龄化明显，儿童青少年的近视率居高不下，近视防控不容乐观。因此，加快我州儿童青少年近视防控工作已迫在眉睫。</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Style w:val="13"/>
          <w:rFonts w:hint="eastAsia" w:ascii="黑体" w:hAnsi="黑体" w:eastAsia="黑体" w:cs="黑体"/>
          <w:kern w:val="0"/>
          <w:sz w:val="32"/>
          <w:szCs w:val="32"/>
          <w:lang w:val="en-US" w:eastAsia="zh-CN"/>
        </w:rPr>
      </w:pPr>
      <w:r>
        <w:rPr>
          <w:rStyle w:val="13"/>
          <w:rFonts w:hint="eastAsia" w:ascii="黑体" w:hAnsi="黑体" w:eastAsia="黑体" w:cs="黑体"/>
          <w:kern w:val="0"/>
          <w:sz w:val="32"/>
          <w:szCs w:val="32"/>
          <w:lang w:val="en-US" w:eastAsia="zh-CN"/>
        </w:rPr>
        <w:t>二、原因分析</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baseline"/>
        <w:rPr>
          <w:rStyle w:val="13"/>
          <w:rFonts w:hint="eastAsia" w:ascii="仿宋" w:hAnsi="仿宋" w:eastAsia="仿宋" w:cs="仿宋"/>
          <w:kern w:val="0"/>
          <w:sz w:val="32"/>
          <w:szCs w:val="32"/>
          <w:lang w:val="en-US" w:eastAsia="zh-CN"/>
        </w:rPr>
      </w:pPr>
      <w:r>
        <w:rPr>
          <w:rStyle w:val="13"/>
          <w:rFonts w:hint="eastAsia" w:ascii="仿宋" w:hAnsi="仿宋" w:eastAsia="仿宋" w:cs="仿宋"/>
          <w:b/>
          <w:bCs/>
          <w:kern w:val="0"/>
          <w:sz w:val="32"/>
          <w:szCs w:val="32"/>
          <w:lang w:val="en-US" w:eastAsia="zh-CN"/>
        </w:rPr>
        <w:t>一是</w:t>
      </w:r>
      <w:r>
        <w:rPr>
          <w:rStyle w:val="13"/>
          <w:rFonts w:hint="eastAsia" w:ascii="仿宋" w:hAnsi="仿宋" w:eastAsia="仿宋" w:cs="仿宋"/>
          <w:kern w:val="0"/>
          <w:sz w:val="32"/>
          <w:szCs w:val="32"/>
          <w:lang w:val="en-US" w:eastAsia="zh-CN"/>
        </w:rPr>
        <w:t>课业负担重，体育锻炼少；</w:t>
      </w:r>
      <w:r>
        <w:rPr>
          <w:rStyle w:val="13"/>
          <w:rFonts w:hint="eastAsia" w:ascii="仿宋" w:hAnsi="仿宋" w:eastAsia="仿宋" w:cs="仿宋"/>
          <w:b/>
          <w:bCs/>
          <w:kern w:val="0"/>
          <w:sz w:val="32"/>
          <w:szCs w:val="32"/>
          <w:lang w:val="en-US" w:eastAsia="zh-CN"/>
        </w:rPr>
        <w:t>二是</w:t>
      </w:r>
      <w:r>
        <w:rPr>
          <w:rStyle w:val="13"/>
          <w:rFonts w:hint="eastAsia" w:ascii="仿宋" w:hAnsi="仿宋" w:eastAsia="仿宋" w:cs="仿宋"/>
          <w:kern w:val="0"/>
          <w:sz w:val="32"/>
          <w:szCs w:val="32"/>
          <w:lang w:val="en-US" w:eastAsia="zh-CN"/>
        </w:rPr>
        <w:t>视力筛查效率低、流程不规范、数据不准确且无法追溯；</w:t>
      </w:r>
      <w:r>
        <w:rPr>
          <w:rStyle w:val="13"/>
          <w:rFonts w:hint="eastAsia" w:ascii="仿宋" w:hAnsi="仿宋" w:eastAsia="仿宋" w:cs="仿宋"/>
          <w:b/>
          <w:bCs/>
          <w:kern w:val="0"/>
          <w:sz w:val="32"/>
          <w:szCs w:val="32"/>
          <w:lang w:val="en-US" w:eastAsia="zh-CN"/>
        </w:rPr>
        <w:t>三是</w:t>
      </w:r>
      <w:r>
        <w:rPr>
          <w:rStyle w:val="13"/>
          <w:rFonts w:hint="eastAsia" w:ascii="仿宋" w:hAnsi="仿宋" w:eastAsia="仿宋" w:cs="仿宋"/>
          <w:kern w:val="0"/>
          <w:sz w:val="32"/>
          <w:szCs w:val="32"/>
          <w:lang w:val="en-US" w:eastAsia="zh-CN"/>
        </w:rPr>
        <w:t>基层医疗资源不足，技术落后，近视防控与健康供给存在短板，出现供需矛盾；</w:t>
      </w:r>
      <w:r>
        <w:rPr>
          <w:rStyle w:val="13"/>
          <w:rFonts w:hint="eastAsia" w:ascii="仿宋" w:hAnsi="仿宋" w:eastAsia="仿宋" w:cs="仿宋"/>
          <w:b/>
          <w:bCs/>
          <w:kern w:val="0"/>
          <w:sz w:val="32"/>
          <w:szCs w:val="32"/>
          <w:lang w:val="en-US" w:eastAsia="zh-CN"/>
        </w:rPr>
        <w:t>四是</w:t>
      </w:r>
      <w:r>
        <w:rPr>
          <w:rStyle w:val="13"/>
          <w:rFonts w:hint="eastAsia" w:ascii="仿宋" w:hAnsi="仿宋" w:eastAsia="仿宋" w:cs="仿宋"/>
          <w:kern w:val="0"/>
          <w:sz w:val="32"/>
          <w:szCs w:val="32"/>
          <w:lang w:val="en-US" w:eastAsia="zh-CN"/>
        </w:rPr>
        <w:t>家长监督缺位；</w:t>
      </w:r>
      <w:r>
        <w:rPr>
          <w:rStyle w:val="13"/>
          <w:rFonts w:hint="eastAsia" w:ascii="仿宋" w:hAnsi="仿宋" w:eastAsia="仿宋" w:cs="仿宋"/>
          <w:b/>
          <w:bCs/>
          <w:kern w:val="0"/>
          <w:sz w:val="32"/>
          <w:szCs w:val="32"/>
          <w:lang w:val="en-US" w:eastAsia="zh-CN"/>
        </w:rPr>
        <w:t>五是</w:t>
      </w:r>
      <w:r>
        <w:rPr>
          <w:rStyle w:val="13"/>
          <w:rFonts w:hint="eastAsia" w:ascii="仿宋" w:hAnsi="仿宋" w:eastAsia="仿宋" w:cs="仿宋"/>
          <w:kern w:val="0"/>
          <w:sz w:val="32"/>
          <w:szCs w:val="32"/>
          <w:lang w:val="en-US" w:eastAsia="zh-CN"/>
        </w:rPr>
        <w:t>家庭、学校、医疗机构之间缺乏及时有效的联动机制。</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Style w:val="13"/>
          <w:rFonts w:hint="eastAsia" w:ascii="仿宋" w:hAnsi="仿宋" w:eastAsia="仿宋" w:cs="仿宋"/>
          <w:kern w:val="0"/>
          <w:sz w:val="32"/>
          <w:szCs w:val="32"/>
          <w:lang w:val="en-US" w:eastAsia="zh-CN"/>
        </w:rPr>
      </w:pPr>
      <w:r>
        <w:rPr>
          <w:rStyle w:val="13"/>
          <w:rFonts w:hint="eastAsia" w:ascii="仿宋" w:hAnsi="仿宋" w:eastAsia="仿宋" w:cs="仿宋"/>
          <w:kern w:val="0"/>
          <w:sz w:val="32"/>
          <w:szCs w:val="32"/>
          <w:lang w:val="en-US" w:eastAsia="zh-CN"/>
        </w:rPr>
        <w:t>目前我州仍对青少年儿童近视防控工作的责任部门和具体防控方案仍缺失，近视防控工作效果不明显。防治工作的专业指导和咨询不到位，近视防控研究滞后，没有较为完善有效的干预机制。而且，社会对近视预防观念薄弱，儿童青少年视力保健知识匮乏，缺少视力保健的意识，对眼保健操和体育锻炼等有效的近视预防措施不够重视，学校和家长也没有真正起到督导作用。</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Style w:val="13"/>
          <w:rFonts w:hint="eastAsia" w:ascii="仿宋" w:hAnsi="仿宋" w:eastAsia="仿宋" w:cs="仿宋"/>
          <w:kern w:val="0"/>
          <w:sz w:val="32"/>
          <w:szCs w:val="32"/>
          <w:lang w:val="en-US" w:eastAsia="zh-CN"/>
        </w:rPr>
      </w:pPr>
      <w:r>
        <w:rPr>
          <w:rStyle w:val="13"/>
          <w:rFonts w:hint="eastAsia" w:ascii="仿宋" w:hAnsi="仿宋" w:eastAsia="仿宋" w:cs="仿宋"/>
          <w:kern w:val="0"/>
          <w:sz w:val="32"/>
          <w:szCs w:val="32"/>
          <w:lang w:val="en-US" w:eastAsia="zh-CN"/>
        </w:rPr>
        <w:t>我州黄平县率先在全州探索构建学生视力智能防控体系和智能防控平台，精密智控全县近六万学生每一双宝贵的眼睛，给学生筑一道爱眼护眼的防线，也取得了一定的成果和经验，值得各市县学习和推广。</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Style w:val="13"/>
          <w:rFonts w:hint="eastAsia" w:ascii="仿宋" w:hAnsi="仿宋" w:eastAsia="仿宋" w:cs="仿宋"/>
          <w:kern w:val="0"/>
          <w:sz w:val="32"/>
          <w:szCs w:val="32"/>
          <w:lang w:val="en-US" w:eastAsia="zh-CN"/>
        </w:rPr>
      </w:pPr>
      <w:r>
        <w:rPr>
          <w:rStyle w:val="13"/>
          <w:rFonts w:hint="eastAsia" w:ascii="仿宋" w:hAnsi="仿宋" w:eastAsia="仿宋" w:cs="仿宋"/>
          <w:kern w:val="0"/>
          <w:sz w:val="32"/>
          <w:szCs w:val="32"/>
          <w:lang w:val="en-US" w:eastAsia="zh-CN"/>
        </w:rPr>
        <w:t>建议：</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Style w:val="13"/>
          <w:rFonts w:hint="eastAsia" w:ascii="仿宋" w:hAnsi="仿宋" w:eastAsia="仿宋" w:cs="仿宋"/>
          <w:kern w:val="0"/>
          <w:sz w:val="32"/>
          <w:szCs w:val="32"/>
          <w:lang w:val="en-US" w:eastAsia="zh-CN"/>
        </w:rPr>
      </w:pPr>
      <w:r>
        <w:rPr>
          <w:rStyle w:val="13"/>
          <w:rFonts w:hint="eastAsia" w:ascii="黑体" w:hAnsi="黑体" w:eastAsia="黑体" w:cs="黑体"/>
          <w:kern w:val="0"/>
          <w:sz w:val="32"/>
          <w:szCs w:val="32"/>
          <w:lang w:val="en-US" w:eastAsia="zh-CN"/>
        </w:rPr>
        <w:t>统筹协调，大力推进青少年视力健康保护工作。</w:t>
      </w:r>
      <w:r>
        <w:rPr>
          <w:rStyle w:val="13"/>
          <w:rFonts w:hint="eastAsia" w:ascii="仿宋" w:hAnsi="仿宋" w:eastAsia="仿宋" w:cs="仿宋"/>
          <w:b/>
          <w:bCs/>
          <w:kern w:val="0"/>
          <w:sz w:val="32"/>
          <w:szCs w:val="32"/>
          <w:lang w:val="en-US" w:eastAsia="zh-CN"/>
        </w:rPr>
        <w:t>一是</w:t>
      </w:r>
      <w:r>
        <w:rPr>
          <w:rStyle w:val="13"/>
          <w:rFonts w:hint="eastAsia" w:ascii="仿宋" w:hAnsi="仿宋" w:eastAsia="仿宋" w:cs="仿宋"/>
          <w:kern w:val="0"/>
          <w:sz w:val="32"/>
          <w:szCs w:val="32"/>
          <w:lang w:val="en-US" w:eastAsia="zh-CN"/>
        </w:rPr>
        <w:t>由政府相关部门统一牵头，设立儿童青少年视力防控中心，统筹协调，加强学生、幼儿视力保护工作的指导，并将视力预防保健相关工作经费纳入各地方财政预算。根据国。家卫生和计划生育委员会《儿童眼及视力保健技术规范》，教育部《中小学学生近视眼防控工作方案》及《中小学学生近视眼防控工作岗位职责》、《中小学学生预防近视眼基本知识与要求》等，尽快制定青少年视力低下综合防治实施方案，探索建立青少年视力干预机制，建立科学预警、分类干预的综合干预体系和防治机制。</w:t>
      </w:r>
      <w:r>
        <w:rPr>
          <w:rStyle w:val="13"/>
          <w:rFonts w:hint="eastAsia" w:ascii="仿宋" w:hAnsi="仿宋" w:eastAsia="仿宋" w:cs="仿宋"/>
          <w:b/>
          <w:bCs/>
          <w:kern w:val="0"/>
          <w:sz w:val="32"/>
          <w:szCs w:val="32"/>
          <w:lang w:val="en-US" w:eastAsia="zh-CN"/>
        </w:rPr>
        <w:t>二是</w:t>
      </w:r>
      <w:r>
        <w:rPr>
          <w:rStyle w:val="13"/>
          <w:rFonts w:hint="eastAsia" w:ascii="仿宋" w:hAnsi="仿宋" w:eastAsia="仿宋" w:cs="仿宋"/>
          <w:kern w:val="0"/>
          <w:sz w:val="32"/>
          <w:szCs w:val="32"/>
          <w:lang w:val="en-US" w:eastAsia="zh-CN"/>
        </w:rPr>
        <w:t>建立科学有效的监督评估机制，教育、卫生部门应联合定期对学校近视防控工作执行情况进行专项督促检查，将学生近视发病率纳入学校素质教育的综合考核指标。尽早启动3—6岁儿童视力保护工作，对入园儿童进行免费视力筛查和用眼指导，及时制定幼儿视力保护的相关办法。</w:t>
      </w:r>
      <w:r>
        <w:rPr>
          <w:rStyle w:val="13"/>
          <w:rFonts w:hint="eastAsia" w:ascii="仿宋" w:hAnsi="仿宋" w:eastAsia="仿宋" w:cs="仿宋"/>
          <w:b/>
          <w:bCs/>
          <w:kern w:val="0"/>
          <w:sz w:val="32"/>
          <w:szCs w:val="32"/>
          <w:lang w:val="en-US" w:eastAsia="zh-CN"/>
        </w:rPr>
        <w:t>三是</w:t>
      </w:r>
      <w:r>
        <w:rPr>
          <w:rStyle w:val="13"/>
          <w:rFonts w:hint="eastAsia" w:ascii="仿宋" w:hAnsi="仿宋" w:eastAsia="仿宋" w:cs="仿宋"/>
          <w:kern w:val="0"/>
          <w:sz w:val="32"/>
          <w:szCs w:val="32"/>
          <w:lang w:val="en-US" w:eastAsia="zh-CN"/>
        </w:rPr>
        <w:t xml:space="preserve">成立儿童、青少年视力防控中心，建立视力防控平台作为支撑点，为儿童、青少年提供用眼指导、视光档案建立、视力跟踪监测、视力康复矫治等视力预防保健的专业技术服务。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baseline"/>
        <w:rPr>
          <w:rStyle w:val="13"/>
          <w:rFonts w:hint="eastAsia" w:ascii="仿宋" w:hAnsi="仿宋" w:eastAsia="仿宋" w:cs="仿宋"/>
          <w:kern w:val="0"/>
          <w:sz w:val="32"/>
          <w:szCs w:val="32"/>
          <w:lang w:val="en-US" w:eastAsia="zh-CN"/>
        </w:rPr>
      </w:pPr>
      <w:r>
        <w:rPr>
          <w:rStyle w:val="13"/>
          <w:rFonts w:hint="eastAsia" w:ascii="黑体" w:hAnsi="黑体" w:eastAsia="黑体" w:cs="黑体"/>
          <w:kern w:val="0"/>
          <w:sz w:val="32"/>
          <w:szCs w:val="32"/>
          <w:lang w:val="en-US" w:eastAsia="zh-CN"/>
        </w:rPr>
        <w:t>加大宣传和教育，构建健康用眼环境。</w:t>
      </w:r>
      <w:r>
        <w:rPr>
          <w:rStyle w:val="13"/>
          <w:rFonts w:hint="eastAsia" w:ascii="仿宋" w:hAnsi="仿宋" w:eastAsia="仿宋" w:cs="仿宋"/>
          <w:b/>
          <w:bCs/>
          <w:kern w:val="0"/>
          <w:sz w:val="32"/>
          <w:szCs w:val="32"/>
          <w:lang w:val="en-US" w:eastAsia="zh-CN"/>
        </w:rPr>
        <w:t>一是</w:t>
      </w:r>
      <w:r>
        <w:rPr>
          <w:rStyle w:val="13"/>
          <w:rFonts w:hint="eastAsia" w:ascii="仿宋" w:hAnsi="仿宋" w:eastAsia="仿宋" w:cs="仿宋"/>
          <w:kern w:val="0"/>
          <w:sz w:val="32"/>
          <w:szCs w:val="32"/>
          <w:lang w:val="en-US" w:eastAsia="zh-CN"/>
        </w:rPr>
        <w:t>加大宣传力度，增强全社会爱眼护眼的紧迫感。普及用眼卫生和视力保健的知识和技能，加强家长、学校和学生对儿童、青少年视力保护工作的重视。如在电视、广播、报刊等平台开辟儿童青少年视力保健专栏；开展眼睛保健讲座，教育儿童、青少年如何爱护眼睛、预防近视、弱视及其他眼疾的知识，教导家长如何正确对待孩子的视力问题；结合“世界爱眼日”等节日开展专题活动，传播科学的爱眼护眼知识，营造全社会重视儿童青少年视力健康的良好氛围。</w:t>
      </w:r>
      <w:r>
        <w:rPr>
          <w:rStyle w:val="13"/>
          <w:rFonts w:hint="eastAsia" w:ascii="仿宋" w:hAnsi="仿宋" w:eastAsia="仿宋" w:cs="仿宋"/>
          <w:b/>
          <w:bCs/>
          <w:kern w:val="0"/>
          <w:sz w:val="32"/>
          <w:szCs w:val="32"/>
          <w:lang w:val="en-US" w:eastAsia="zh-CN"/>
        </w:rPr>
        <w:t>二是</w:t>
      </w:r>
      <w:r>
        <w:rPr>
          <w:rStyle w:val="13"/>
          <w:rFonts w:hint="eastAsia" w:ascii="仿宋" w:hAnsi="仿宋" w:eastAsia="仿宋" w:cs="仿宋"/>
          <w:kern w:val="0"/>
          <w:sz w:val="32"/>
          <w:szCs w:val="32"/>
          <w:lang w:val="en-US" w:eastAsia="zh-CN"/>
        </w:rPr>
        <w:t>家校联动，加强预防。孩子的视力事关孩子的一生，家长要引起足够重视，及早发现视力异常，及早预防和保健。切莫依赖开刀、戴隐形眼镜等消极办法而放弃对孩子眼睛、视力健康的保护，身体力行，以科学的用眼习惯影响教育孩子。积极配合学校，形成合力，严格控制儿童、青少年儿童在家作业和使用电脑、手机等电子产品的时间，特别是减少3-6岁儿童的用眼时间；引导、督促学生养成良好的看书写字姿势；保证学生每天足够的体育锻炼时间和睡眠时间，促进学生营养改善，达到控制和降低近视不良发生率的目的。</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baseline"/>
        <w:rPr>
          <w:rStyle w:val="13"/>
          <w:rFonts w:hint="eastAsia" w:ascii="黑体" w:hAnsi="黑体" w:eastAsia="黑体" w:cs="黑体"/>
          <w:b/>
          <w:bCs/>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baseline"/>
        <w:rPr>
          <w:rStyle w:val="13"/>
          <w:rFonts w:hint="eastAsia" w:ascii="仿宋" w:hAnsi="仿宋" w:eastAsia="仿宋" w:cs="仿宋"/>
          <w:kern w:val="0"/>
          <w:sz w:val="32"/>
          <w:szCs w:val="32"/>
          <w:lang w:val="en-US" w:eastAsia="zh-CN"/>
        </w:rPr>
      </w:pPr>
      <w:r>
        <w:rPr>
          <w:rStyle w:val="13"/>
          <w:rFonts w:hint="eastAsia" w:ascii="黑体" w:hAnsi="黑体" w:eastAsia="黑体" w:cs="黑体"/>
          <w:b/>
          <w:bCs/>
          <w:kern w:val="0"/>
          <w:sz w:val="32"/>
          <w:szCs w:val="32"/>
          <w:lang w:val="en-US" w:eastAsia="zh-CN"/>
        </w:rPr>
        <w:t>注：</w:t>
      </w:r>
      <w:r>
        <w:rPr>
          <w:rStyle w:val="13"/>
          <w:rFonts w:hint="eastAsia" w:ascii="仿宋" w:hAnsi="仿宋" w:eastAsia="仿宋" w:cs="仿宋"/>
          <w:kern w:val="0"/>
          <w:sz w:val="32"/>
          <w:szCs w:val="32"/>
          <w:lang w:val="en-US" w:eastAsia="zh-CN"/>
        </w:rPr>
        <w:t>1、提案会办单位需将会办意见送主办单位，由主办单位连同《提案答复件》、《征询意见表》一并抄送州政协；（涉及目标考核）</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1280" w:firstLineChars="400"/>
        <w:textAlignment w:val="baseline"/>
        <w:rPr>
          <w:rStyle w:val="13"/>
          <w:rFonts w:hint="default" w:ascii="仿宋" w:hAnsi="仿宋" w:eastAsia="仿宋" w:cs="仿宋"/>
          <w:kern w:val="0"/>
          <w:sz w:val="32"/>
          <w:szCs w:val="32"/>
          <w:lang w:val="en-US" w:eastAsia="zh-CN"/>
        </w:rPr>
      </w:pPr>
      <w:r>
        <w:rPr>
          <w:rStyle w:val="13"/>
          <w:rFonts w:hint="eastAsia" w:ascii="仿宋" w:hAnsi="仿宋" w:eastAsia="仿宋" w:cs="仿宋"/>
          <w:kern w:val="0"/>
          <w:sz w:val="32"/>
          <w:szCs w:val="32"/>
          <w:lang w:val="en-US" w:eastAsia="zh-CN"/>
        </w:rPr>
        <w:t>2、州政协联系方式：州政协办402室、传真8428882，协同账号：州政协办公室收发员（备注：XXX号提案答复件）。</w:t>
      </w:r>
    </w:p>
    <w:sectPr>
      <w:headerReference r:id="rId3" w:type="default"/>
      <w:footerReference r:id="rId4"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华文隶书">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8941"/>
      <w:docPartObj>
        <w:docPartGallery w:val="autotext"/>
      </w:docPartObj>
    </w:sdtPr>
    <w:sdtContent>
      <w:p>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Style w:val="1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911"/>
    <w:rsid w:val="00062089"/>
    <w:rsid w:val="002F6404"/>
    <w:rsid w:val="00372D70"/>
    <w:rsid w:val="004D0222"/>
    <w:rsid w:val="004E6BC5"/>
    <w:rsid w:val="00507FB8"/>
    <w:rsid w:val="00551F39"/>
    <w:rsid w:val="00554776"/>
    <w:rsid w:val="00654375"/>
    <w:rsid w:val="007055DB"/>
    <w:rsid w:val="007D1DFD"/>
    <w:rsid w:val="00840276"/>
    <w:rsid w:val="008A6967"/>
    <w:rsid w:val="008E32D7"/>
    <w:rsid w:val="008E5289"/>
    <w:rsid w:val="00A351EC"/>
    <w:rsid w:val="00A75BD7"/>
    <w:rsid w:val="00A94399"/>
    <w:rsid w:val="00A97C93"/>
    <w:rsid w:val="00C76ECC"/>
    <w:rsid w:val="00D123BF"/>
    <w:rsid w:val="00DD129A"/>
    <w:rsid w:val="00EA1493"/>
    <w:rsid w:val="00FB6911"/>
    <w:rsid w:val="00FF3F01"/>
    <w:rsid w:val="045F3915"/>
    <w:rsid w:val="06503351"/>
    <w:rsid w:val="07D26AFC"/>
    <w:rsid w:val="08B66956"/>
    <w:rsid w:val="10B40BCC"/>
    <w:rsid w:val="118823F2"/>
    <w:rsid w:val="13C57EA3"/>
    <w:rsid w:val="16F969DB"/>
    <w:rsid w:val="18EC1E64"/>
    <w:rsid w:val="1B913D76"/>
    <w:rsid w:val="1BAB45FA"/>
    <w:rsid w:val="1D124BB8"/>
    <w:rsid w:val="20E366FE"/>
    <w:rsid w:val="21EA0B57"/>
    <w:rsid w:val="23370767"/>
    <w:rsid w:val="24BD47D4"/>
    <w:rsid w:val="254B7D55"/>
    <w:rsid w:val="255A2EE5"/>
    <w:rsid w:val="280B3E99"/>
    <w:rsid w:val="29BB0497"/>
    <w:rsid w:val="29EB237C"/>
    <w:rsid w:val="2BDD0731"/>
    <w:rsid w:val="2FD84B80"/>
    <w:rsid w:val="30B878C9"/>
    <w:rsid w:val="317F3112"/>
    <w:rsid w:val="32794BB9"/>
    <w:rsid w:val="33552650"/>
    <w:rsid w:val="35A1653F"/>
    <w:rsid w:val="377737A4"/>
    <w:rsid w:val="38D60616"/>
    <w:rsid w:val="3A7B4D73"/>
    <w:rsid w:val="3D865DCA"/>
    <w:rsid w:val="3F1A5C90"/>
    <w:rsid w:val="42F10C9F"/>
    <w:rsid w:val="443741D2"/>
    <w:rsid w:val="493508EE"/>
    <w:rsid w:val="497C7186"/>
    <w:rsid w:val="4A196944"/>
    <w:rsid w:val="4A6A10A6"/>
    <w:rsid w:val="4F1E6C2C"/>
    <w:rsid w:val="4F6B5D70"/>
    <w:rsid w:val="4FD75182"/>
    <w:rsid w:val="507F065A"/>
    <w:rsid w:val="5236789E"/>
    <w:rsid w:val="559F1A55"/>
    <w:rsid w:val="57B323AE"/>
    <w:rsid w:val="5A7C34BF"/>
    <w:rsid w:val="5AA17385"/>
    <w:rsid w:val="5B7C24C8"/>
    <w:rsid w:val="5C6B77F5"/>
    <w:rsid w:val="61895CCF"/>
    <w:rsid w:val="66F35DD9"/>
    <w:rsid w:val="67615A51"/>
    <w:rsid w:val="6854075C"/>
    <w:rsid w:val="69A37ABB"/>
    <w:rsid w:val="6A644AE2"/>
    <w:rsid w:val="6F5974BD"/>
    <w:rsid w:val="70307264"/>
    <w:rsid w:val="71230126"/>
    <w:rsid w:val="72DF1356"/>
    <w:rsid w:val="737B52FA"/>
    <w:rsid w:val="73AF7E1A"/>
    <w:rsid w:val="743C31A8"/>
    <w:rsid w:val="74620891"/>
    <w:rsid w:val="75FC7C1A"/>
    <w:rsid w:val="778C0E73"/>
    <w:rsid w:val="78491FD0"/>
    <w:rsid w:val="7C1F06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table of authorities"/>
    <w:basedOn w:val="1"/>
    <w:next w:val="1"/>
    <w:qFormat/>
    <w:uiPriority w:val="0"/>
    <w:pPr>
      <w:ind w:left="420" w:leftChars="200"/>
    </w:pPr>
    <w:rPr>
      <w:szCs w:val="20"/>
    </w:rPr>
  </w:style>
  <w:style w:type="paragraph" w:styleId="5">
    <w:name w:val="footer"/>
    <w:basedOn w:val="1"/>
    <w:link w:val="25"/>
    <w:qFormat/>
    <w:uiPriority w:val="99"/>
    <w:pPr>
      <w:snapToGrid w:val="0"/>
      <w:jc w:val="left"/>
    </w:pPr>
    <w:rPr>
      <w:sz w:val="18"/>
      <w:szCs w:val="18"/>
    </w:rPr>
  </w:style>
  <w:style w:type="paragraph" w:styleId="6">
    <w:name w:val="header"/>
    <w:basedOn w:val="1"/>
    <w:qFormat/>
    <w:uiPriority w:val="0"/>
    <w:pPr>
      <w:pBdr>
        <w:bottom w:val="single" w:color="000000" w:sz="6" w:space="0"/>
      </w:pBdr>
      <w:snapToGrid w:val="0"/>
      <w:jc w:val="center"/>
    </w:pPr>
    <w:rPr>
      <w:sz w:val="18"/>
      <w:szCs w:val="18"/>
    </w:rPr>
  </w:style>
  <w:style w:type="paragraph" w:styleId="7">
    <w:name w:val="Body Text 2"/>
    <w:basedOn w:val="1"/>
    <w:qFormat/>
    <w:uiPriority w:val="0"/>
    <w:pPr>
      <w:spacing w:after="120" w:line="480" w:lineRule="auto"/>
    </w:pPr>
  </w:style>
  <w:style w:type="paragraph" w:styleId="8">
    <w:name w:val="Normal (Web)"/>
    <w:basedOn w:val="1"/>
    <w:qFormat/>
    <w:uiPriority w:val="0"/>
    <w:pPr>
      <w:spacing w:beforeAutospacing="1" w:afterAutospacing="1"/>
      <w:jc w:val="left"/>
    </w:pPr>
    <w:rPr>
      <w:kern w:val="0"/>
      <w:sz w:val="24"/>
    </w:rPr>
  </w:style>
  <w:style w:type="character" w:styleId="11">
    <w:name w:val="Strong"/>
    <w:qFormat/>
    <w:uiPriority w:val="0"/>
    <w:rPr>
      <w:rFonts w:cs="Times New Roman"/>
      <w:b/>
      <w:bCs/>
    </w:rPr>
  </w:style>
  <w:style w:type="character" w:styleId="12">
    <w:name w:val="Hyperlink"/>
    <w:basedOn w:val="13"/>
    <w:semiHidden/>
    <w:qFormat/>
    <w:uiPriority w:val="0"/>
    <w:rPr>
      <w:color w:val="0000FF"/>
      <w:u w:val="single"/>
    </w:rPr>
  </w:style>
  <w:style w:type="character" w:customStyle="1" w:styleId="13">
    <w:name w:val="NormalCharacter"/>
    <w:semiHidden/>
    <w:qFormat/>
    <w:uiPriority w:val="0"/>
  </w:style>
  <w:style w:type="paragraph" w:customStyle="1" w:styleId="14">
    <w:name w:val="NormalIndent"/>
    <w:basedOn w:val="1"/>
    <w:qFormat/>
    <w:uiPriority w:val="0"/>
    <w:pPr>
      <w:ind w:firstLine="420" w:firstLineChars="200"/>
      <w:jc w:val="both"/>
      <w:textAlignment w:val="baseline"/>
    </w:pPr>
    <w:rPr>
      <w:rFonts w:ascii="Times New Roman" w:hAnsi="Times New Roman"/>
      <w:kern w:val="2"/>
      <w:sz w:val="21"/>
      <w:szCs w:val="21"/>
      <w:lang w:val="en-US" w:eastAsia="zh-CN" w:bidi="ar-SA"/>
    </w:rPr>
  </w:style>
  <w:style w:type="paragraph" w:customStyle="1" w:styleId="15">
    <w:name w:val="正文-公1"/>
    <w:basedOn w:val="1"/>
    <w:qFormat/>
    <w:uiPriority w:val="99"/>
    <w:pPr>
      <w:ind w:firstLine="200" w:firstLineChars="200"/>
    </w:pPr>
    <w:rPr>
      <w:rFonts w:ascii="Calibri" w:hAnsi="Calibri"/>
    </w:rPr>
  </w:style>
  <w:style w:type="paragraph" w:customStyle="1" w:styleId="16">
    <w:name w:val="Heading1"/>
    <w:basedOn w:val="1"/>
    <w:link w:val="22"/>
    <w:qFormat/>
    <w:uiPriority w:val="0"/>
    <w:pPr>
      <w:spacing w:before="100" w:beforeAutospacing="1" w:after="100" w:afterAutospacing="1"/>
      <w:jc w:val="left"/>
    </w:pPr>
    <w:rPr>
      <w:rFonts w:ascii="宋体" w:hAnsi="宋体" w:cs="宋体"/>
      <w:b/>
      <w:bCs/>
      <w:kern w:val="36"/>
      <w:sz w:val="48"/>
      <w:szCs w:val="48"/>
    </w:rPr>
  </w:style>
  <w:style w:type="table" w:customStyle="1" w:styleId="17">
    <w:name w:val="TableNormal"/>
    <w:semiHidden/>
    <w:qFormat/>
    <w:uiPriority w:val="0"/>
    <w:tblPr>
      <w:tblCellMar>
        <w:top w:w="0" w:type="dxa"/>
        <w:left w:w="0" w:type="dxa"/>
        <w:bottom w:w="0" w:type="dxa"/>
        <w:right w:w="0" w:type="dxa"/>
      </w:tblCellMar>
    </w:tblPr>
  </w:style>
  <w:style w:type="paragraph" w:customStyle="1" w:styleId="18">
    <w:name w:val="Acetate"/>
    <w:basedOn w:val="1"/>
    <w:qFormat/>
    <w:uiPriority w:val="0"/>
    <w:rPr>
      <w:sz w:val="18"/>
      <w:szCs w:val="18"/>
    </w:rPr>
  </w:style>
  <w:style w:type="paragraph" w:customStyle="1" w:styleId="19">
    <w:name w:val="UserStyle_0"/>
    <w:basedOn w:val="1"/>
    <w:qFormat/>
    <w:uiPriority w:val="0"/>
    <w:pPr>
      <w:spacing w:before="100" w:beforeAutospacing="1" w:after="100" w:afterAutospacing="1"/>
      <w:jc w:val="left"/>
    </w:pPr>
    <w:rPr>
      <w:rFonts w:ascii="黑体" w:hAnsi="宋体" w:eastAsia="黑体" w:cs="宋体"/>
      <w:b/>
      <w:bCs/>
      <w:kern w:val="0"/>
      <w:sz w:val="36"/>
      <w:szCs w:val="36"/>
    </w:rPr>
  </w:style>
  <w:style w:type="paragraph" w:customStyle="1" w:styleId="20">
    <w:name w:val="UserStyle_1"/>
    <w:basedOn w:val="1"/>
    <w:qFormat/>
    <w:uiPriority w:val="0"/>
    <w:pPr>
      <w:spacing w:before="100" w:beforeAutospacing="1" w:after="100" w:afterAutospacing="1"/>
      <w:jc w:val="left"/>
    </w:pPr>
    <w:rPr>
      <w:rFonts w:ascii="黑体" w:hAnsi="宋体" w:eastAsia="黑体" w:cs="宋体"/>
      <w:b/>
      <w:bCs/>
      <w:kern w:val="0"/>
      <w:sz w:val="54"/>
      <w:szCs w:val="54"/>
    </w:rPr>
  </w:style>
  <w:style w:type="paragraph" w:customStyle="1" w:styleId="21">
    <w:name w:val="UserStyle_2"/>
    <w:basedOn w:val="1"/>
    <w:qFormat/>
    <w:uiPriority w:val="0"/>
    <w:pPr>
      <w:spacing w:before="100" w:beforeAutospacing="1" w:after="100" w:afterAutospacing="1"/>
      <w:jc w:val="left"/>
    </w:pPr>
    <w:rPr>
      <w:rFonts w:ascii="宋体" w:hAnsi="宋体"/>
      <w:kern w:val="0"/>
      <w:sz w:val="24"/>
    </w:rPr>
  </w:style>
  <w:style w:type="character" w:customStyle="1" w:styleId="22">
    <w:name w:val="UserStyle_3"/>
    <w:basedOn w:val="13"/>
    <w:link w:val="16"/>
    <w:qFormat/>
    <w:uiPriority w:val="0"/>
    <w:rPr>
      <w:rFonts w:ascii="宋体" w:hAnsi="宋体" w:cs="宋体"/>
      <w:b/>
      <w:bCs/>
      <w:kern w:val="36"/>
      <w:sz w:val="48"/>
      <w:szCs w:val="48"/>
    </w:rPr>
  </w:style>
  <w:style w:type="character" w:customStyle="1" w:styleId="23">
    <w:name w:val="UserStyle_4"/>
    <w:basedOn w:val="13"/>
    <w:qFormat/>
    <w:uiPriority w:val="0"/>
  </w:style>
  <w:style w:type="paragraph" w:customStyle="1" w:styleId="24">
    <w:name w:val="HtmlNormal"/>
    <w:basedOn w:val="1"/>
    <w:semiHidden/>
    <w:qFormat/>
    <w:uiPriority w:val="0"/>
    <w:pPr>
      <w:spacing w:before="100" w:beforeAutospacing="1" w:after="100" w:afterAutospacing="1"/>
      <w:jc w:val="left"/>
    </w:pPr>
    <w:rPr>
      <w:rFonts w:ascii="宋体" w:hAnsi="宋体"/>
      <w:kern w:val="0"/>
      <w:sz w:val="24"/>
    </w:rPr>
  </w:style>
  <w:style w:type="character" w:customStyle="1" w:styleId="25">
    <w:name w:val="页脚 Char"/>
    <w:basedOn w:val="10"/>
    <w:link w:val="5"/>
    <w:qFormat/>
    <w:uiPriority w:val="99"/>
    <w:rPr>
      <w:rFonts w:cstheme="minorBidi"/>
      <w:kern w:val="2"/>
      <w:sz w:val="18"/>
      <w:szCs w:val="18"/>
    </w:rPr>
  </w:style>
  <w:style w:type="paragraph" w:customStyle="1" w:styleId="26">
    <w:name w:val="Body text|2"/>
    <w:basedOn w:val="1"/>
    <w:qFormat/>
    <w:uiPriority w:val="0"/>
    <w:pPr>
      <w:spacing w:after="300"/>
      <w:ind w:firstLine="740"/>
    </w:pPr>
    <w:rPr>
      <w:rFonts w:ascii="宋体" w:hAnsi="宋体" w:cs="宋体"/>
      <w:sz w:val="26"/>
      <w:szCs w:val="26"/>
      <w:lang w:val="zh-TW" w:eastAsia="zh-TW" w:bidi="zh-TW"/>
    </w:rPr>
  </w:style>
  <w:style w:type="character" w:customStyle="1" w:styleId="27">
    <w:name w:val="15"/>
    <w:basedOn w:val="10"/>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4</Pages>
  <Words>307</Words>
  <Characters>1751</Characters>
  <Lines>14</Lines>
  <Paragraphs>4</Paragraphs>
  <TotalTime>5</TotalTime>
  <ScaleCrop>false</ScaleCrop>
  <LinksUpToDate>false</LinksUpToDate>
  <CharactersWithSpaces>2054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2021-01-13T04:51:00Z</dcterms:created>
  <dc:creator>Administrator</dc:creator>
  <cp:lastModifiedBy>يانغ يي</cp:lastModifiedBy>
  <cp:lastPrinted>2021-02-26T02:55:00Z</cp:lastPrinted>
  <dcterms:modified xsi:type="dcterms:W3CDTF">2022-01-06T07:49:04Z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166CC6321B7B4A9F8CCF3BE0FE8F29DC</vt:lpwstr>
  </property>
</Properties>
</file>