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spacing w:before="0" w:beforeAutospacing="0" w:after="0" w:afterAutospacing="0" w:line="600" w:lineRule="exact"/>
        <w:jc w:val="center"/>
        <w:rPr>
          <w:rStyle w:val="20"/>
          <w:rFonts w:ascii="黑体" w:eastAsia="黑体"/>
          <w:sz w:val="44"/>
          <w:szCs w:val="44"/>
        </w:rPr>
      </w:pPr>
      <w:r>
        <w:rPr>
          <w:rStyle w:val="18"/>
          <w:rFonts w:ascii="黑体" w:eastAsia="黑体" w:cs="宋体"/>
          <w:sz w:val="44"/>
          <w:szCs w:val="44"/>
        </w:rPr>
        <w:t>中国人民政治协商会议</w:t>
      </w:r>
    </w:p>
    <w:p>
      <w:pPr>
        <w:pStyle w:val="27"/>
        <w:spacing w:before="0" w:beforeAutospacing="0" w:after="0" w:afterAutospacing="0" w:line="600" w:lineRule="exact"/>
        <w:jc w:val="center"/>
        <w:rPr>
          <w:rStyle w:val="20"/>
          <w:rFonts w:hint="eastAsia"/>
          <w:sz w:val="44"/>
          <w:szCs w:val="44"/>
        </w:rPr>
      </w:pPr>
      <w:r>
        <w:rPr>
          <w:rStyle w:val="20"/>
          <w:sz w:val="44"/>
          <w:szCs w:val="44"/>
        </w:rPr>
        <w:t>黔东南苗族侗族自治州委员会</w:t>
      </w:r>
    </w:p>
    <w:p>
      <w:pPr>
        <w:pStyle w:val="27"/>
        <w:spacing w:before="0" w:beforeAutospacing="0" w:after="0" w:afterAutospacing="0" w:line="600" w:lineRule="exact"/>
        <w:jc w:val="center"/>
        <w:rPr>
          <w:rStyle w:val="20"/>
          <w:rFonts w:hint="eastAsia"/>
          <w:sz w:val="44"/>
          <w:szCs w:val="44"/>
        </w:rPr>
      </w:pPr>
      <w:r>
        <w:rPr>
          <w:rStyle w:val="20"/>
          <w:sz w:val="44"/>
          <w:szCs w:val="44"/>
        </w:rPr>
        <w:t>提</w:t>
      </w:r>
      <w:r>
        <w:rPr>
          <w:rStyle w:val="20"/>
          <w:rFonts w:hint="eastAsia"/>
          <w:sz w:val="44"/>
          <w:szCs w:val="44"/>
        </w:rPr>
        <w:t xml:space="preserve">   </w:t>
      </w:r>
      <w:r>
        <w:rPr>
          <w:rStyle w:val="20"/>
          <w:sz w:val="44"/>
          <w:szCs w:val="44"/>
        </w:rPr>
        <w:t>案</w:t>
      </w:r>
    </w:p>
    <w:p>
      <w:pPr>
        <w:spacing w:line="320" w:lineRule="exact"/>
        <w:jc w:val="center"/>
        <w:textAlignment w:val="top"/>
        <w:rPr>
          <w:rStyle w:val="20"/>
          <w:rFonts w:hint="eastAsia" w:ascii="宋体" w:hAnsi="宋体"/>
          <w:kern w:val="0"/>
          <w:sz w:val="24"/>
        </w:rPr>
      </w:pPr>
    </w:p>
    <w:p>
      <w:pPr>
        <w:spacing w:line="320" w:lineRule="exact"/>
        <w:jc w:val="center"/>
        <w:textAlignment w:val="top"/>
        <w:rPr>
          <w:rStyle w:val="20"/>
          <w:rFonts w:hint="eastAsia" w:ascii="宋体" w:hAnsi="宋体"/>
          <w:kern w:val="0"/>
          <w:sz w:val="24"/>
        </w:rPr>
      </w:pPr>
    </w:p>
    <w:p>
      <w:pPr>
        <w:spacing w:line="760" w:lineRule="exact"/>
        <w:jc w:val="both"/>
        <w:textAlignment w:val="top"/>
        <w:rPr>
          <w:rStyle w:val="20"/>
          <w:rFonts w:ascii="宋体" w:hAnsi="宋体"/>
          <w:kern w:val="0"/>
          <w:sz w:val="24"/>
        </w:rPr>
      </w:pPr>
      <w:r>
        <w:rPr>
          <w:rStyle w:val="20"/>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20"/>
          <w:rFonts w:hint="default" w:ascii="宋体" w:hAnsi="宋体" w:eastAsia="宋体"/>
          <w:kern w:val="0"/>
          <w:sz w:val="24"/>
          <w:lang w:val="en-US" w:eastAsia="zh-CN"/>
        </w:rPr>
      </w:pPr>
      <w:r>
        <w:rPr>
          <w:rStyle w:val="20"/>
          <w:rFonts w:ascii="宋体" w:hAnsi="宋体"/>
          <w:kern w:val="0"/>
          <w:sz w:val="24"/>
        </w:rPr>
        <w:t>第十</w:t>
      </w:r>
      <w:r>
        <w:rPr>
          <w:rStyle w:val="20"/>
          <w:rFonts w:hint="eastAsia" w:ascii="宋体" w:hAnsi="宋体"/>
          <w:kern w:val="0"/>
          <w:sz w:val="24"/>
          <w:lang w:val="en-US" w:eastAsia="zh-CN"/>
        </w:rPr>
        <w:t>三</w:t>
      </w:r>
      <w:r>
        <w:rPr>
          <w:rStyle w:val="20"/>
          <w:rFonts w:ascii="宋体" w:hAnsi="宋体"/>
          <w:kern w:val="0"/>
          <w:sz w:val="24"/>
        </w:rPr>
        <w:t>届第</w:t>
      </w:r>
      <w:r>
        <w:rPr>
          <w:rStyle w:val="20"/>
          <w:rFonts w:hint="eastAsia" w:ascii="宋体" w:hAnsi="宋体"/>
          <w:kern w:val="0"/>
          <w:sz w:val="24"/>
          <w:lang w:val="en-US" w:eastAsia="zh-CN"/>
        </w:rPr>
        <w:t>一</w:t>
      </w:r>
      <w:r>
        <w:rPr>
          <w:rStyle w:val="20"/>
          <w:rFonts w:ascii="宋体" w:hAnsi="宋体"/>
          <w:kern w:val="0"/>
          <w:sz w:val="24"/>
        </w:rPr>
        <w:t>次会议　       　第</w:t>
      </w:r>
      <w:r>
        <w:rPr>
          <w:rStyle w:val="20"/>
          <w:rFonts w:hint="eastAsia" w:ascii="宋体" w:hAnsi="宋体"/>
          <w:kern w:val="0"/>
          <w:sz w:val="24"/>
          <w:lang w:val="en-US" w:eastAsia="zh-CN"/>
        </w:rPr>
        <w:t>210</w:t>
      </w:r>
      <w:r>
        <w:rPr>
          <w:rStyle w:val="20"/>
          <w:rFonts w:ascii="宋体" w:hAnsi="宋体"/>
          <w:kern w:val="0"/>
          <w:sz w:val="24"/>
        </w:rPr>
        <w:t xml:space="preserve">号　    </w:t>
      </w:r>
      <w:r>
        <w:rPr>
          <w:rStyle w:val="20"/>
          <w:rFonts w:hint="eastAsia" w:ascii="宋体" w:hAnsi="宋体"/>
          <w:kern w:val="0"/>
          <w:sz w:val="24"/>
        </w:rPr>
        <w:t xml:space="preserve">    </w:t>
      </w:r>
      <w:r>
        <w:rPr>
          <w:rStyle w:val="20"/>
          <w:rFonts w:hint="eastAsia" w:ascii="宋体" w:hAnsi="宋体"/>
          <w:kern w:val="0"/>
          <w:sz w:val="24"/>
          <w:lang w:val="en-US" w:eastAsia="zh-CN"/>
        </w:rPr>
        <w:t xml:space="preserve"> 类别：政治建设类     </w:t>
      </w:r>
    </w:p>
    <w:p>
      <w:pPr>
        <w:spacing w:line="320" w:lineRule="exact"/>
        <w:jc w:val="left"/>
        <w:rPr>
          <w:rStyle w:val="20"/>
          <w:rFonts w:ascii="宋体" w:hAnsi="宋体"/>
          <w:kern w:val="0"/>
          <w:sz w:val="24"/>
        </w:rPr>
      </w:pPr>
      <w:r>
        <w:rPr>
          <w:rStyle w:val="20"/>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1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20"/>
                <w:rFonts w:ascii="宋体" w:hAnsi="宋体"/>
                <w:kern w:val="0"/>
                <w:sz w:val="24"/>
              </w:rPr>
            </w:pPr>
            <w:r>
              <w:rPr>
                <w:rStyle w:val="20"/>
                <w:rFonts w:ascii="黑体" w:hAnsi="宋体" w:eastAsia="黑体" w:cs="宋体"/>
                <w:b/>
                <w:bCs/>
                <w:kern w:val="0"/>
                <w:sz w:val="24"/>
              </w:rPr>
              <w:t>案</w:t>
            </w:r>
            <w:r>
              <w:rPr>
                <w:rStyle w:val="20"/>
                <w:rFonts w:ascii="宋体" w:hAnsi="宋体" w:eastAsia="黑体" w:cs="宋体"/>
                <w:b/>
                <w:bCs/>
                <w:kern w:val="0"/>
                <w:sz w:val="24"/>
              </w:rPr>
              <w:t>  </w:t>
            </w:r>
            <w:r>
              <w:rPr>
                <w:rStyle w:val="20"/>
                <w:rFonts w:ascii="黑体" w:hAnsi="宋体" w:eastAsia="黑体" w:cs="宋体"/>
                <w:b/>
                <w:bCs/>
                <w:kern w:val="0"/>
                <w:sz w:val="24"/>
              </w:rPr>
              <w:t>由</w:t>
            </w:r>
            <w:r>
              <w:rPr>
                <w:rStyle w:val="20"/>
                <w:rFonts w:ascii="宋体" w:hAnsi="宋体" w:cs="宋体"/>
                <w:b/>
                <w:bCs/>
                <w:kern w:val="0"/>
                <w:sz w:val="24"/>
              </w:rPr>
              <w:t>：</w:t>
            </w:r>
          </w:p>
        </w:tc>
        <w:tc>
          <w:tcPr>
            <w:tcW w:w="6797" w:type="dxa"/>
            <w:gridSpan w:val="3"/>
            <w:vAlign w:val="center"/>
          </w:tcPr>
          <w:p>
            <w:pPr>
              <w:jc w:val="left"/>
              <w:rPr>
                <w:rStyle w:val="20"/>
                <w:rFonts w:ascii="宋体" w:hAnsi="宋体" w:cs="宋体"/>
                <w:b/>
                <w:bCs/>
                <w:kern w:val="0"/>
                <w:sz w:val="24"/>
              </w:rPr>
            </w:pPr>
            <w:r>
              <w:rPr>
                <w:rStyle w:val="20"/>
                <w:rFonts w:hint="eastAsia" w:ascii="宋体" w:hAnsi="宋体" w:cs="宋体"/>
                <w:b/>
                <w:bCs/>
                <w:kern w:val="0"/>
                <w:sz w:val="24"/>
              </w:rPr>
              <w:t xml:space="preserve">关于实施乡村振兴战略应当突出抓住“人”这一关键因素的建议    </w:t>
            </w:r>
          </w:p>
        </w:tc>
      </w:tr>
      <w:tr>
        <w:tblPrEx>
          <w:tblCellMar>
            <w:top w:w="0" w:type="dxa"/>
            <w:left w:w="15" w:type="dxa"/>
            <w:bottom w:w="0" w:type="dxa"/>
            <w:right w:w="15" w:type="dxa"/>
          </w:tblCellMar>
        </w:tblPrEx>
        <w:tc>
          <w:tcPr>
            <w:tcW w:w="1753" w:type="dxa"/>
            <w:vAlign w:val="center"/>
          </w:tcPr>
          <w:p>
            <w:pPr>
              <w:jc w:val="left"/>
              <w:rPr>
                <w:rStyle w:val="20"/>
                <w:rFonts w:ascii="宋体" w:hAnsi="宋体"/>
                <w:kern w:val="0"/>
                <w:sz w:val="24"/>
              </w:rPr>
            </w:pPr>
            <w:r>
              <w:rPr>
                <w:rStyle w:val="20"/>
                <w:rFonts w:ascii="黑体" w:hAnsi="宋体" w:eastAsia="黑体" w:cs="宋体"/>
                <w:b/>
                <w:bCs/>
                <w:kern w:val="0"/>
                <w:sz w:val="24"/>
              </w:rPr>
              <w:t>审查意见</w:t>
            </w:r>
            <w:r>
              <w:rPr>
                <w:rStyle w:val="20"/>
                <w:rFonts w:ascii="宋体" w:hAnsi="宋体" w:cs="宋体"/>
                <w:b/>
                <w:bCs/>
                <w:kern w:val="0"/>
                <w:sz w:val="24"/>
              </w:rPr>
              <w:t>：</w:t>
            </w:r>
          </w:p>
        </w:tc>
        <w:tc>
          <w:tcPr>
            <w:tcW w:w="6797" w:type="dxa"/>
            <w:gridSpan w:val="3"/>
            <w:vAlign w:val="center"/>
          </w:tcPr>
          <w:p>
            <w:pPr>
              <w:jc w:val="left"/>
              <w:rPr>
                <w:rStyle w:val="20"/>
                <w:rFonts w:hint="default" w:ascii="宋体" w:hAnsi="宋体" w:eastAsia="宋体"/>
                <w:kern w:val="0"/>
                <w:sz w:val="24"/>
                <w:lang w:val="en-US" w:eastAsia="zh-CN"/>
              </w:rPr>
            </w:pPr>
            <w:r>
              <w:rPr>
                <w:rStyle w:val="20"/>
                <w:rFonts w:hint="eastAsia" w:ascii="宋体" w:hAnsi="宋体"/>
                <w:kern w:val="0"/>
                <w:sz w:val="24"/>
                <w:lang w:eastAsia="zh-CN"/>
              </w:rPr>
              <w:t>主办：</w:t>
            </w:r>
            <w:r>
              <w:rPr>
                <w:rStyle w:val="20"/>
                <w:rFonts w:hint="eastAsia" w:ascii="宋体" w:hAnsi="宋体"/>
                <w:kern w:val="0"/>
                <w:sz w:val="24"/>
                <w:lang w:val="en-US" w:eastAsia="zh-CN"/>
              </w:rPr>
              <w:t>州委组织部</w:t>
            </w:r>
            <w:r>
              <w:rPr>
                <w:rStyle w:val="20"/>
                <w:rFonts w:hint="eastAsia" w:ascii="宋体" w:hAnsi="宋体"/>
                <w:kern w:val="0"/>
                <w:sz w:val="24"/>
                <w:lang w:val="en-US" w:eastAsia="zh-CN"/>
              </w:rPr>
              <w:t xml:space="preserve"> 会办：</w:t>
            </w:r>
            <w:r>
              <w:rPr>
                <w:rStyle w:val="20"/>
                <w:rFonts w:hint="eastAsia" w:ascii="宋体" w:hAnsi="宋体"/>
                <w:kern w:val="0"/>
                <w:sz w:val="24"/>
                <w:lang w:eastAsia="zh-CN"/>
              </w:rPr>
              <w:t>州人社局、州农业农村局</w:t>
            </w:r>
          </w:p>
        </w:tc>
      </w:tr>
      <w:tr>
        <w:tblPrEx>
          <w:tblCellMar>
            <w:top w:w="0" w:type="dxa"/>
            <w:left w:w="15" w:type="dxa"/>
            <w:bottom w:w="0" w:type="dxa"/>
            <w:right w:w="15" w:type="dxa"/>
          </w:tblCellMar>
        </w:tblPrEx>
        <w:tc>
          <w:tcPr>
            <w:tcW w:w="1753" w:type="dxa"/>
            <w:vAlign w:val="center"/>
          </w:tcPr>
          <w:p>
            <w:pPr>
              <w:jc w:val="left"/>
              <w:rPr>
                <w:rStyle w:val="20"/>
                <w:rFonts w:ascii="黑体" w:hAnsi="宋体" w:eastAsia="黑体"/>
                <w:kern w:val="0"/>
                <w:sz w:val="24"/>
              </w:rPr>
            </w:pPr>
            <w:r>
              <w:rPr>
                <w:rStyle w:val="20"/>
                <w:rFonts w:ascii="黑体" w:hAnsi="宋体" w:eastAsia="黑体" w:cs="宋体"/>
                <w:b/>
                <w:bCs/>
                <w:kern w:val="0"/>
                <w:sz w:val="24"/>
              </w:rPr>
              <w:t>提</w:t>
            </w:r>
            <w:r>
              <w:rPr>
                <w:rStyle w:val="20"/>
                <w:rFonts w:ascii="宋体" w:hAnsi="宋体" w:eastAsia="黑体" w:cs="宋体"/>
                <w:b/>
                <w:bCs/>
                <w:kern w:val="0"/>
                <w:sz w:val="24"/>
              </w:rPr>
              <w:t> </w:t>
            </w:r>
            <w:r>
              <w:rPr>
                <w:rStyle w:val="20"/>
                <w:rFonts w:ascii="黑体" w:hAnsi="宋体" w:eastAsia="黑体" w:cs="宋体"/>
                <w:b/>
                <w:bCs/>
                <w:kern w:val="0"/>
                <w:sz w:val="24"/>
              </w:rPr>
              <w:t>案人</w:t>
            </w:r>
            <w:r>
              <w:rPr>
                <w:rStyle w:val="20"/>
                <w:rFonts w:ascii="宋体" w:hAnsi="宋体" w:eastAsia="黑体" w:cs="宋体"/>
                <w:b/>
                <w:bCs/>
                <w:kern w:val="0"/>
                <w:sz w:val="24"/>
              </w:rPr>
              <w:t>：</w:t>
            </w:r>
          </w:p>
        </w:tc>
        <w:tc>
          <w:tcPr>
            <w:tcW w:w="3872" w:type="dxa"/>
            <w:vAlign w:val="center"/>
          </w:tcPr>
          <w:p>
            <w:pPr>
              <w:jc w:val="left"/>
              <w:rPr>
                <w:rStyle w:val="20"/>
                <w:rFonts w:ascii="宋体" w:hAnsi="宋体"/>
                <w:kern w:val="0"/>
                <w:sz w:val="24"/>
              </w:rPr>
            </w:pPr>
            <w:r>
              <w:rPr>
                <w:rStyle w:val="20"/>
                <w:rFonts w:ascii="宋体" w:hAnsi="宋体" w:cs="宋体"/>
                <w:b/>
                <w:bCs/>
                <w:kern w:val="0"/>
                <w:sz w:val="24"/>
                <w:highlight w:val="none"/>
              </w:rPr>
              <w:t>通讯地址</w:t>
            </w:r>
          </w:p>
        </w:tc>
        <w:tc>
          <w:tcPr>
            <w:tcW w:w="1440" w:type="dxa"/>
            <w:vAlign w:val="center"/>
          </w:tcPr>
          <w:p>
            <w:pPr>
              <w:jc w:val="left"/>
              <w:rPr>
                <w:rStyle w:val="20"/>
                <w:rFonts w:ascii="宋体" w:hAnsi="宋体"/>
                <w:kern w:val="0"/>
                <w:sz w:val="24"/>
              </w:rPr>
            </w:pPr>
            <w:r>
              <w:rPr>
                <w:rStyle w:val="20"/>
                <w:rFonts w:ascii="宋体" w:hAnsi="宋体" w:cs="宋体"/>
                <w:b/>
                <w:bCs/>
                <w:kern w:val="0"/>
                <w:sz w:val="24"/>
              </w:rPr>
              <w:t>邮政编码</w:t>
            </w:r>
          </w:p>
        </w:tc>
        <w:tc>
          <w:tcPr>
            <w:tcW w:w="1485" w:type="dxa"/>
            <w:vAlign w:val="center"/>
          </w:tcPr>
          <w:p>
            <w:pPr>
              <w:jc w:val="left"/>
              <w:rPr>
                <w:rStyle w:val="20"/>
                <w:rFonts w:ascii="宋体" w:hAnsi="宋体"/>
                <w:kern w:val="0"/>
                <w:sz w:val="24"/>
              </w:rPr>
            </w:pPr>
            <w:r>
              <w:rPr>
                <w:rStyle w:val="20"/>
                <w:rFonts w:ascii="宋体" w:hAnsi="宋体" w:cs="宋体"/>
                <w:b/>
                <w:bCs/>
                <w:kern w:val="0"/>
                <w:sz w:val="24"/>
              </w:rPr>
              <w:t>联系电话</w:t>
            </w:r>
          </w:p>
        </w:tc>
      </w:tr>
      <w:tr>
        <w:tc>
          <w:tcPr>
            <w:tcW w:w="1753" w:type="dxa"/>
            <w:vAlign w:val="center"/>
          </w:tcPr>
          <w:p>
            <w:pPr>
              <w:jc w:val="left"/>
              <w:rPr>
                <w:rStyle w:val="20"/>
                <w:rFonts w:hint="eastAsia" w:ascii="宋体" w:hAnsi="宋体"/>
                <w:kern w:val="0"/>
                <w:sz w:val="24"/>
                <w:lang w:val="en-US" w:eastAsia="zh-CN"/>
              </w:rPr>
            </w:pPr>
            <w:bookmarkStart w:id="0" w:name="_GoBack"/>
            <w:r>
              <w:rPr>
                <w:rStyle w:val="20"/>
                <w:rFonts w:hint="eastAsia" w:ascii="宋体" w:hAnsi="宋体"/>
                <w:kern w:val="0"/>
                <w:sz w:val="24"/>
                <w:lang w:val="en-US" w:eastAsia="zh-CN"/>
              </w:rPr>
              <w:t>何洪道</w:t>
            </w:r>
            <w:bookmarkEnd w:id="0"/>
          </w:p>
        </w:tc>
        <w:tc>
          <w:tcPr>
            <w:tcW w:w="3872" w:type="dxa"/>
            <w:vAlign w:val="center"/>
          </w:tcPr>
          <w:p>
            <w:pPr>
              <w:jc w:val="left"/>
              <w:rPr>
                <w:rStyle w:val="20"/>
                <w:rFonts w:hint="default" w:ascii="宋体" w:hAnsi="宋体"/>
                <w:kern w:val="0"/>
                <w:sz w:val="24"/>
                <w:lang w:val="en-US" w:eastAsia="zh-CN"/>
              </w:rPr>
            </w:pPr>
            <w:r>
              <w:rPr>
                <w:rStyle w:val="20"/>
                <w:rFonts w:hint="default" w:ascii="宋体" w:hAnsi="宋体"/>
                <w:kern w:val="0"/>
                <w:sz w:val="24"/>
                <w:lang w:val="en-US" w:eastAsia="zh-CN"/>
              </w:rPr>
              <w:t>中共岑巩县委统战部</w:t>
            </w:r>
          </w:p>
        </w:tc>
        <w:tc>
          <w:tcPr>
            <w:tcW w:w="1440" w:type="dxa"/>
            <w:vAlign w:val="center"/>
          </w:tcPr>
          <w:p>
            <w:pPr>
              <w:jc w:val="left"/>
              <w:rPr>
                <w:rStyle w:val="20"/>
                <w:rFonts w:hint="default" w:ascii="宋体" w:hAnsi="宋体"/>
                <w:kern w:val="0"/>
                <w:sz w:val="24"/>
                <w:lang w:val="en-US" w:eastAsia="zh-CN"/>
              </w:rPr>
            </w:pPr>
            <w:r>
              <w:rPr>
                <w:rStyle w:val="20"/>
                <w:rFonts w:hint="default" w:ascii="宋体" w:hAnsi="宋体" w:eastAsia="宋体"/>
                <w:kern w:val="0"/>
                <w:sz w:val="24"/>
                <w:lang w:val="en-US" w:eastAsia="zh-CN"/>
              </w:rPr>
              <w:t>557800</w:t>
            </w:r>
          </w:p>
        </w:tc>
        <w:tc>
          <w:tcPr>
            <w:tcW w:w="1485" w:type="dxa"/>
            <w:vAlign w:val="center"/>
          </w:tcPr>
          <w:p>
            <w:pPr>
              <w:jc w:val="left"/>
              <w:rPr>
                <w:rStyle w:val="20"/>
                <w:rFonts w:hint="default" w:ascii="宋体" w:hAnsi="宋体"/>
                <w:kern w:val="0"/>
                <w:sz w:val="24"/>
                <w:lang w:val="en-US" w:eastAsia="zh-CN"/>
              </w:rPr>
            </w:pPr>
            <w:r>
              <w:rPr>
                <w:rStyle w:val="20"/>
                <w:rFonts w:hint="default" w:ascii="宋体" w:hAnsi="宋体"/>
                <w:kern w:val="0"/>
                <w:sz w:val="24"/>
                <w:lang w:val="en-US" w:eastAsia="zh-CN"/>
              </w:rPr>
              <w:t xml:space="preserve">13985846870 </w:t>
            </w:r>
          </w:p>
        </w:tc>
      </w:tr>
      <w:tr>
        <w:tblPrEx>
          <w:tblCellMar>
            <w:top w:w="0" w:type="dxa"/>
            <w:left w:w="15" w:type="dxa"/>
            <w:bottom w:w="0" w:type="dxa"/>
            <w:right w:w="15" w:type="dxa"/>
          </w:tblCellMar>
        </w:tblPrEx>
        <w:tc>
          <w:tcPr>
            <w:tcW w:w="1753" w:type="dxa"/>
            <w:vAlign w:val="center"/>
          </w:tcPr>
          <w:p>
            <w:pPr>
              <w:jc w:val="left"/>
              <w:rPr>
                <w:rStyle w:val="20"/>
                <w:rFonts w:hint="eastAsia" w:ascii="宋体" w:hAnsi="宋体" w:eastAsia="宋体"/>
                <w:kern w:val="0"/>
                <w:sz w:val="24"/>
                <w:lang w:eastAsia="zh-CN"/>
              </w:rPr>
            </w:pPr>
            <w:r>
              <w:rPr>
                <w:rStyle w:val="20"/>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20"/>
                <w:rFonts w:hint="eastAsia" w:ascii="宋体" w:hAnsi="宋体"/>
                <w:kern w:val="0"/>
                <w:sz w:val="24"/>
                <w:lang w:val="en-US" w:eastAsia="zh-CN"/>
              </w:rPr>
            </w:pPr>
            <w:r>
              <w:rPr>
                <w:rStyle w:val="20"/>
                <w:rFonts w:hint="eastAsia" w:ascii="宋体" w:hAnsi="宋体"/>
                <w:kern w:val="0"/>
                <w:sz w:val="24"/>
                <w:lang w:eastAsia="zh-CN"/>
              </w:rPr>
              <w:t>州委办秘书五科：</w:t>
            </w:r>
            <w:r>
              <w:rPr>
                <w:rStyle w:val="20"/>
                <w:rFonts w:hint="eastAsia" w:ascii="宋体" w:hAnsi="宋体"/>
                <w:kern w:val="0"/>
                <w:sz w:val="24"/>
                <w:lang w:val="en-US" w:eastAsia="zh-CN"/>
              </w:rPr>
              <w:t>8270060；</w:t>
            </w:r>
            <w:r>
              <w:rPr>
                <w:rStyle w:val="20"/>
                <w:rFonts w:hint="eastAsia" w:ascii="宋体" w:hAnsi="宋体"/>
                <w:kern w:val="0"/>
                <w:sz w:val="24"/>
                <w:lang w:eastAsia="zh-CN"/>
              </w:rPr>
              <w:t>州政府办建议提案科：</w:t>
            </w:r>
            <w:r>
              <w:rPr>
                <w:rStyle w:val="20"/>
                <w:rFonts w:hint="eastAsia" w:ascii="宋体" w:hAnsi="宋体"/>
                <w:kern w:val="0"/>
                <w:sz w:val="24"/>
                <w:lang w:val="en-US" w:eastAsia="zh-CN"/>
              </w:rPr>
              <w:t>8260016；</w:t>
            </w:r>
          </w:p>
          <w:p>
            <w:pPr>
              <w:jc w:val="left"/>
              <w:rPr>
                <w:rStyle w:val="20"/>
                <w:rFonts w:hint="default" w:ascii="宋体" w:hAnsi="宋体"/>
                <w:kern w:val="0"/>
                <w:sz w:val="24"/>
                <w:lang w:val="en-US"/>
              </w:rPr>
            </w:pPr>
            <w:r>
              <w:rPr>
                <w:rStyle w:val="20"/>
                <w:rFonts w:hint="eastAsia" w:ascii="宋体" w:hAnsi="宋体"/>
                <w:kern w:val="0"/>
                <w:sz w:val="24"/>
                <w:lang w:eastAsia="zh-CN"/>
              </w:rPr>
              <w:t>州政协提案委：</w:t>
            </w:r>
            <w:r>
              <w:rPr>
                <w:rStyle w:val="20"/>
                <w:rFonts w:hint="eastAsia" w:ascii="宋体" w:hAnsi="宋体"/>
                <w:kern w:val="0"/>
                <w:sz w:val="24"/>
                <w:lang w:val="en-US" w:eastAsia="zh-CN"/>
              </w:rPr>
              <w:t>8428866</w:t>
            </w:r>
            <w:r>
              <w:rPr>
                <w:rStyle w:val="20"/>
                <w:rFonts w:hint="eastAsia" w:ascii="宋体" w:hAnsi="宋体"/>
                <w:kern w:val="0"/>
                <w:sz w:val="24"/>
                <w:lang w:eastAsia="zh-CN"/>
              </w:rPr>
              <w:t>。</w:t>
            </w:r>
          </w:p>
        </w:tc>
      </w:tr>
    </w:tbl>
    <w:p>
      <w:pPr>
        <w:jc w:val="left"/>
        <w:rPr>
          <w:rStyle w:val="20"/>
          <w:rFonts w:ascii="宋体" w:hAnsi="宋体"/>
          <w:kern w:val="0"/>
          <w:sz w:val="24"/>
        </w:rPr>
      </w:pPr>
      <w:r>
        <w:rPr>
          <w:rStyle w:val="20"/>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20"/>
          <w:rFonts w:hint="eastAsia" w:ascii="仿宋_GB2312" w:hAnsi="宋体" w:eastAsia="仿宋_GB2312"/>
          <w:kern w:val="0"/>
          <w:sz w:val="32"/>
          <w:szCs w:val="32"/>
        </w:rPr>
      </w:pPr>
      <w:r>
        <w:rPr>
          <w:rStyle w:val="20"/>
          <w:rFonts w:hint="eastAsia" w:ascii="仿宋_GB2312" w:hAnsi="宋体" w:eastAsia="仿宋_GB2312"/>
          <w:kern w:val="0"/>
          <w:sz w:val="32"/>
          <w:szCs w:val="32"/>
        </w:rPr>
        <w:t>内容和办法</w:t>
      </w:r>
      <w:r>
        <w:rPr>
          <w:rStyle w:val="20"/>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脱贫攻坚战取得全面胜利后，“三农”工作重心已逐步向全面推进乡村振兴历史性转移。乡村作为主阵地、主战场，要实现振兴，我认为应当突出抓住“人”这一关键因素，具体来讲，即应当重视解决好乡镇干部队伍建设、基层组织建设和农民主体地位的问题，因为脱离了这三大落实主体，再伟大的美好蓝图、再光辉的乡村愿景都可能是一句空话，毕竟事在人为。</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乡村要振兴，应当注重把乡村作为干部培养摇篮。乡村振兴战略的实施，既让农村发展迎来了春天，也给乡镇干部提供了施展才华的舞台，更是组织发现、识别、锻炼、储备干部的重要渠道。应当把乡村振兴的生力军——乡镇干部队伍的建设作为基础性工程来抓，注重把乡村作为培养干部的第一摇篮，建立干部下乡村机制，让干部愿下乡村、想下乡村、肯下乡村，多捧“烫手山芋”，多经“风吹浪打”，多当“热锅上的蚂蚁”，多到困难大、矛盾多的地方练胆魄，多在形势严峻、情况复杂的环境磨意志，多于重大考验和急难险重中经风雨、见世面、长才干、壮筋骨。敢于破除与乡村振兴不相适应的用人体制机制障碍、弊端和蕃蓠，让下乡村干事的干部有盼头，让在乡村能干事的干部得实惠。因为留住了这支生力军，乡村振兴才有希望。</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乡村要振兴，应当选优建强基层组织战斗堡垒。农村基层党组织与群众联系最密切，掌握民意最直接，落实政策最有效，是推进乡村振兴走好“最后一公里”的关键。“帮钱帮物，不如帮助建个好支部”，农村基层党组织强不强，党组织书记行不行，直接关系乡村振兴战略实施的效果好不好。只有选优建强基层党组织，发挥好战斗堡垒作用和党员先锋模范作用，才能把基层党的组织优势、组织功能、组织力量充分发挥出来，把广大党员群众的思想、行动、力量、智慧凝聚起来，引导他们积极投身到乡村振兴中去。去年3月，省委组织部、省财政厅联合印发了《关于建立正常增长机制进一步加强村级组织运转经费保障工作的通知》，制定了“12条干货”，出“硬招”、引“硬人”、扛“硬活”，明确“345”待遇保障底线。应全面推动相关政策不断完善和落地落实，让村干成为光荣而有吸引力的职业，基层组织这支乡村振兴的先锋队才会越来越强。</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乡村要振兴，应当充分体现农民群众主体地位。农民是农业农村发展的主体，是乡村振兴的主力军，实施乡村振兴是为了农民，但也必须依靠农民。只有尊重农民的主体地位，才能激发乡村振兴的内生动力和持久力量。所以，乡村振兴就应当坚定不移走群众路线，坚持农民的主体地位不动摇，注重激发农民主人翁意识，发挥农民主体能动作用，把他们的积极性、主动性、创造性调动起来，激发出来，为乡村振兴聚智聚力、贡献力量。还应在改善农村生产生活条件上不遗余力，在发展农业产业上苦下功夫，在拓展增收渠道上广开门路，穷尽一切办法吸引大量流失的农村劳动力回乡。同时，出台更多更好的优惠政策，鼓励支持他们返家创业，带动乡亲们一起发展，从“打工致富一家”向“创业带富一方”转变，从而破解当前农村空巢化、空心化问题，让农民群众在乡村振兴中得到最广泛的参与。乡村振兴干什么、怎么干，党委、政府可以引导和扶持，但绝不能包办和代替。应当坚决杜绝过去“躺等天上掉馅饼，从来不思早脱贫”“干部在干群众看，百姓抱手一旁站”的怪象。农民当主体，各方齐努力，同唱大合唱，乡村才可期。</w:t>
      </w:r>
    </w:p>
    <w:p>
      <w:pPr>
        <w:spacing w:line="560" w:lineRule="exact"/>
        <w:ind w:firstLine="643" w:firstLineChars="200"/>
        <w:rPr>
          <w:rStyle w:val="20"/>
          <w:rFonts w:hint="eastAsia" w:ascii="黑体" w:hAnsi="黑体" w:eastAsia="黑体" w:cs="黑体"/>
          <w:b/>
          <w:bCs/>
          <w:kern w:val="0"/>
          <w:sz w:val="32"/>
          <w:szCs w:val="32"/>
          <w:lang w:val="en-US" w:eastAsia="zh-CN"/>
        </w:rPr>
      </w:pPr>
    </w:p>
    <w:p>
      <w:pPr>
        <w:spacing w:line="560" w:lineRule="exact"/>
        <w:ind w:firstLine="643" w:firstLineChars="200"/>
        <w:rPr>
          <w:rStyle w:val="20"/>
          <w:rFonts w:hint="eastAsia" w:ascii="仿宋" w:hAnsi="仿宋" w:eastAsia="仿宋" w:cs="仿宋"/>
          <w:kern w:val="0"/>
          <w:sz w:val="32"/>
          <w:szCs w:val="32"/>
          <w:lang w:val="en-US" w:eastAsia="zh-CN"/>
        </w:rPr>
      </w:pPr>
      <w:r>
        <w:rPr>
          <w:rStyle w:val="20"/>
          <w:rFonts w:hint="eastAsia" w:ascii="黑体" w:hAnsi="黑体" w:eastAsia="黑体" w:cs="黑体"/>
          <w:b/>
          <w:bCs/>
          <w:kern w:val="0"/>
          <w:sz w:val="32"/>
          <w:szCs w:val="32"/>
          <w:lang w:val="en-US" w:eastAsia="zh-CN"/>
        </w:rPr>
        <w:t>注：</w:t>
      </w:r>
      <w:r>
        <w:rPr>
          <w:rStyle w:val="20"/>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20"/>
          <w:rFonts w:hint="default" w:ascii="仿宋" w:hAnsi="仿宋" w:eastAsia="仿宋" w:cs="仿宋"/>
          <w:kern w:val="0"/>
          <w:sz w:val="32"/>
          <w:szCs w:val="32"/>
          <w:lang w:val="en-US" w:eastAsia="zh-CN"/>
        </w:rPr>
      </w:pPr>
      <w:r>
        <w:rPr>
          <w:rStyle w:val="20"/>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仿宋">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00000287"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11"/>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137C9"/>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6723E75"/>
    <w:rsid w:val="07D26AFC"/>
    <w:rsid w:val="085639B7"/>
    <w:rsid w:val="08DF7FD3"/>
    <w:rsid w:val="0CFE2127"/>
    <w:rsid w:val="0E023C14"/>
    <w:rsid w:val="0E6211D8"/>
    <w:rsid w:val="10B40BCC"/>
    <w:rsid w:val="10F40BE4"/>
    <w:rsid w:val="118823F2"/>
    <w:rsid w:val="121236E7"/>
    <w:rsid w:val="14B55B05"/>
    <w:rsid w:val="14CA2548"/>
    <w:rsid w:val="14FB1B14"/>
    <w:rsid w:val="169647CD"/>
    <w:rsid w:val="16D82272"/>
    <w:rsid w:val="17952A0B"/>
    <w:rsid w:val="188C1484"/>
    <w:rsid w:val="18EC1E64"/>
    <w:rsid w:val="1966382D"/>
    <w:rsid w:val="1A917DD9"/>
    <w:rsid w:val="1BAB45FA"/>
    <w:rsid w:val="1C3D0309"/>
    <w:rsid w:val="20790890"/>
    <w:rsid w:val="209D5BC6"/>
    <w:rsid w:val="21EA0B57"/>
    <w:rsid w:val="255649A8"/>
    <w:rsid w:val="25730CA1"/>
    <w:rsid w:val="25983D3C"/>
    <w:rsid w:val="26A31BEB"/>
    <w:rsid w:val="278B5D37"/>
    <w:rsid w:val="285B3E37"/>
    <w:rsid w:val="292E3516"/>
    <w:rsid w:val="29516A7C"/>
    <w:rsid w:val="29EB237C"/>
    <w:rsid w:val="2B91741D"/>
    <w:rsid w:val="2C125075"/>
    <w:rsid w:val="2D0B6C27"/>
    <w:rsid w:val="2D1C2FCE"/>
    <w:rsid w:val="2DED1791"/>
    <w:rsid w:val="2E26699A"/>
    <w:rsid w:val="2FD84B80"/>
    <w:rsid w:val="30B878C9"/>
    <w:rsid w:val="30C355A4"/>
    <w:rsid w:val="312C2212"/>
    <w:rsid w:val="33552650"/>
    <w:rsid w:val="361A12B9"/>
    <w:rsid w:val="36DF2C6D"/>
    <w:rsid w:val="377737A4"/>
    <w:rsid w:val="38161E21"/>
    <w:rsid w:val="38512AAE"/>
    <w:rsid w:val="38D60616"/>
    <w:rsid w:val="38E6072A"/>
    <w:rsid w:val="3A7B4D73"/>
    <w:rsid w:val="3E2A05DB"/>
    <w:rsid w:val="3F1A5C90"/>
    <w:rsid w:val="3F9241D0"/>
    <w:rsid w:val="429C3A74"/>
    <w:rsid w:val="42F10C9F"/>
    <w:rsid w:val="43953D03"/>
    <w:rsid w:val="4397414B"/>
    <w:rsid w:val="44AF3CA3"/>
    <w:rsid w:val="44BC15A0"/>
    <w:rsid w:val="470F7444"/>
    <w:rsid w:val="48BF0ACA"/>
    <w:rsid w:val="48EF2C94"/>
    <w:rsid w:val="48F66091"/>
    <w:rsid w:val="4A196944"/>
    <w:rsid w:val="4AFB1C7E"/>
    <w:rsid w:val="4D04300E"/>
    <w:rsid w:val="4E0963F8"/>
    <w:rsid w:val="4E6A17E5"/>
    <w:rsid w:val="4F6B5D70"/>
    <w:rsid w:val="50361239"/>
    <w:rsid w:val="503815FD"/>
    <w:rsid w:val="507F065A"/>
    <w:rsid w:val="51B406C1"/>
    <w:rsid w:val="52263247"/>
    <w:rsid w:val="5236789E"/>
    <w:rsid w:val="52594BAC"/>
    <w:rsid w:val="5497004A"/>
    <w:rsid w:val="556B0F96"/>
    <w:rsid w:val="557E780B"/>
    <w:rsid w:val="559F1A55"/>
    <w:rsid w:val="55B805B9"/>
    <w:rsid w:val="57A12425"/>
    <w:rsid w:val="58167D2D"/>
    <w:rsid w:val="5902530C"/>
    <w:rsid w:val="59BD76F1"/>
    <w:rsid w:val="5A33791C"/>
    <w:rsid w:val="5A7C34BF"/>
    <w:rsid w:val="5AA17385"/>
    <w:rsid w:val="5B55151A"/>
    <w:rsid w:val="5B564800"/>
    <w:rsid w:val="5B7C24C8"/>
    <w:rsid w:val="5C342431"/>
    <w:rsid w:val="5CEC5AA8"/>
    <w:rsid w:val="5F1D4C21"/>
    <w:rsid w:val="5FDA608F"/>
    <w:rsid w:val="617E5CD0"/>
    <w:rsid w:val="61895CCF"/>
    <w:rsid w:val="61C325AD"/>
    <w:rsid w:val="62384D4B"/>
    <w:rsid w:val="62BA14E8"/>
    <w:rsid w:val="62CB18FB"/>
    <w:rsid w:val="637A36D3"/>
    <w:rsid w:val="64010D57"/>
    <w:rsid w:val="66F35DD9"/>
    <w:rsid w:val="67210F58"/>
    <w:rsid w:val="67AD6576"/>
    <w:rsid w:val="6854075C"/>
    <w:rsid w:val="69A37ABB"/>
    <w:rsid w:val="6A9524E1"/>
    <w:rsid w:val="6AA44A20"/>
    <w:rsid w:val="6DA7783B"/>
    <w:rsid w:val="6E64541F"/>
    <w:rsid w:val="72A61A44"/>
    <w:rsid w:val="72CE5F9C"/>
    <w:rsid w:val="73746A5F"/>
    <w:rsid w:val="74007530"/>
    <w:rsid w:val="75E22452"/>
    <w:rsid w:val="76471ADB"/>
    <w:rsid w:val="77DC05AA"/>
    <w:rsid w:val="783A4BD2"/>
    <w:rsid w:val="78421D59"/>
    <w:rsid w:val="7AF667DD"/>
    <w:rsid w:val="7C1F064D"/>
    <w:rsid w:val="7EE160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spacing w:before="100" w:beforeAutospacing="1" w:after="10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pPr>
  </w:style>
  <w:style w:type="paragraph" w:customStyle="1" w:styleId="3">
    <w:name w:val="正文 New New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er"/>
    <w:basedOn w:val="1"/>
    <w:next w:val="1"/>
    <w:qFormat/>
    <w:uiPriority w:val="0"/>
    <w:pPr>
      <w:pBdr>
        <w:bottom w:val="single" w:color="000000" w:sz="6" w:space="0"/>
      </w:pBdr>
      <w:snapToGrid w:val="0"/>
      <w:jc w:val="center"/>
    </w:pPr>
    <w:rPr>
      <w:sz w:val="18"/>
      <w:szCs w:val="18"/>
    </w:rPr>
  </w:style>
  <w:style w:type="paragraph" w:styleId="7">
    <w:name w:val="Body Text"/>
    <w:basedOn w:val="1"/>
    <w:qFormat/>
    <w:uiPriority w:val="0"/>
  </w:style>
  <w:style w:type="paragraph" w:styleId="8">
    <w:name w:val="Body Text Indent"/>
    <w:basedOn w:val="1"/>
    <w:next w:val="9"/>
    <w:qFormat/>
    <w:uiPriority w:val="0"/>
    <w:pPr>
      <w:spacing w:after="120"/>
      <w:ind w:left="420" w:leftChars="200"/>
    </w:pPr>
  </w:style>
  <w:style w:type="paragraph" w:styleId="9">
    <w:name w:val="Balloon Text"/>
    <w:basedOn w:val="1"/>
    <w:next w:val="1"/>
    <w:qFormat/>
    <w:uiPriority w:val="0"/>
    <w:rPr>
      <w:sz w:val="18"/>
      <w:szCs w:val="18"/>
    </w:rPr>
  </w:style>
  <w:style w:type="paragraph" w:styleId="10">
    <w:name w:val="Block Text"/>
    <w:basedOn w:val="1"/>
    <w:unhideWhenUsed/>
    <w:qFormat/>
    <w:uiPriority w:val="99"/>
    <w:pPr>
      <w:spacing w:after="120"/>
      <w:ind w:left="1440" w:leftChars="700" w:right="1440" w:rightChars="700"/>
    </w:pPr>
  </w:style>
  <w:style w:type="paragraph" w:styleId="11">
    <w:name w:val="footer"/>
    <w:basedOn w:val="1"/>
    <w:link w:val="33"/>
    <w:qFormat/>
    <w:uiPriority w:val="99"/>
    <w:pPr>
      <w:snapToGrid w:val="0"/>
      <w:jc w:val="left"/>
    </w:pPr>
    <w:rPr>
      <w:sz w:val="18"/>
      <w:szCs w:val="18"/>
    </w:rPr>
  </w:style>
  <w:style w:type="paragraph" w:styleId="12">
    <w:name w:val="index 9"/>
    <w:next w:val="1"/>
    <w:qFormat/>
    <w:uiPriority w:val="0"/>
    <w:pPr>
      <w:widowControl w:val="0"/>
      <w:ind w:left="1600" w:leftChars="1600"/>
      <w:jc w:val="both"/>
    </w:pPr>
    <w:rPr>
      <w:rFonts w:ascii="Times New Roman" w:hAnsi="Times New Roman" w:eastAsia="宋体" w:cs="Times New Roman"/>
      <w:kern w:val="2"/>
      <w:sz w:val="21"/>
      <w:szCs w:val="24"/>
      <w:lang w:val="en-US" w:eastAsia="zh-CN" w:bidi="ar-SA"/>
    </w:rPr>
  </w:style>
  <w:style w:type="paragraph" w:styleId="13">
    <w:name w:val="Body Text 2"/>
    <w:basedOn w:val="1"/>
    <w:unhideWhenUsed/>
    <w:qFormat/>
    <w:uiPriority w:val="99"/>
    <w:pPr>
      <w:ind w:firstLine="400"/>
    </w:pPr>
    <w:rPr>
      <w:rFonts w:eastAsia="仿宋_GB2312"/>
      <w:sz w:val="32"/>
    </w:rPr>
  </w:style>
  <w:style w:type="paragraph" w:styleId="14">
    <w:name w:val="Normal (Web)"/>
    <w:basedOn w:val="1"/>
    <w:next w:val="12"/>
    <w:qFormat/>
    <w:uiPriority w:val="0"/>
    <w:pPr>
      <w:spacing w:beforeAutospacing="1" w:afterAutospacing="1"/>
      <w:jc w:val="left"/>
    </w:pPr>
    <w:rPr>
      <w:kern w:val="0"/>
      <w:sz w:val="24"/>
    </w:rPr>
  </w:style>
  <w:style w:type="paragraph" w:styleId="15">
    <w:name w:val="Body Text First Indent 2"/>
    <w:basedOn w:val="8"/>
    <w:next w:val="1"/>
    <w:qFormat/>
    <w:uiPriority w:val="0"/>
    <w:pPr>
      <w:ind w:firstLine="420" w:firstLineChars="200"/>
    </w:pPr>
  </w:style>
  <w:style w:type="character" w:styleId="18">
    <w:name w:val="Strong"/>
    <w:qFormat/>
    <w:uiPriority w:val="0"/>
    <w:rPr>
      <w:rFonts w:cs="Times New Roman"/>
      <w:b/>
      <w:bCs/>
    </w:rPr>
  </w:style>
  <w:style w:type="character" w:styleId="19">
    <w:name w:val="Hyperlink"/>
    <w:basedOn w:val="20"/>
    <w:semiHidden/>
    <w:qFormat/>
    <w:uiPriority w:val="0"/>
    <w:rPr>
      <w:color w:val="0000FF"/>
      <w:u w:val="single"/>
    </w:rPr>
  </w:style>
  <w:style w:type="character" w:customStyle="1" w:styleId="20">
    <w:name w:val="NormalCharacter"/>
    <w:link w:val="21"/>
    <w:semiHidden/>
    <w:qFormat/>
    <w:uiPriority w:val="0"/>
  </w:style>
  <w:style w:type="paragraph" w:customStyle="1" w:styleId="21">
    <w:name w:val="UserStyle_5"/>
    <w:basedOn w:val="22"/>
    <w:link w:val="20"/>
    <w:qFormat/>
    <w:uiPriority w:val="0"/>
    <w:pPr>
      <w:jc w:val="both"/>
      <w:textAlignment w:val="baseline"/>
    </w:pPr>
  </w:style>
  <w:style w:type="paragraph" w:customStyle="1" w:styleId="22">
    <w:name w:val="UserStyle_6"/>
    <w:qFormat/>
    <w:uiPriority w:val="0"/>
    <w:pPr>
      <w:jc w:val="both"/>
      <w:textAlignment w:val="baseline"/>
    </w:pPr>
    <w:rPr>
      <w:rFonts w:ascii="Times New Roman" w:hAnsi="Times New Roman" w:eastAsia="宋体" w:cs="Times New Roman"/>
      <w:kern w:val="2"/>
      <w:sz w:val="44"/>
      <w:szCs w:val="44"/>
      <w:lang w:val="en-US" w:eastAsia="zh-CN" w:bidi="ar-SA"/>
    </w:rPr>
  </w:style>
  <w:style w:type="paragraph" w:customStyle="1" w:styleId="23">
    <w:name w:val="TableOfAuthoring"/>
    <w:basedOn w:val="1"/>
    <w:next w:val="1"/>
    <w:semiHidden/>
    <w:qFormat/>
    <w:uiPriority w:val="0"/>
    <w:pPr>
      <w:spacing w:after="0"/>
      <w:ind w:left="420" w:leftChars="200"/>
      <w:jc w:val="both"/>
      <w:textAlignment w:val="baseline"/>
    </w:pPr>
  </w:style>
  <w:style w:type="paragraph" w:customStyle="1" w:styleId="24">
    <w:name w:val="Heading1"/>
    <w:basedOn w:val="1"/>
    <w:link w:val="30"/>
    <w:qFormat/>
    <w:uiPriority w:val="0"/>
    <w:pPr>
      <w:spacing w:before="100" w:beforeAutospacing="1" w:after="100" w:afterAutospacing="1"/>
      <w:jc w:val="left"/>
    </w:pPr>
    <w:rPr>
      <w:rFonts w:ascii="宋体" w:hAnsi="宋体" w:cs="宋体"/>
      <w:b/>
      <w:bCs/>
      <w:kern w:val="36"/>
      <w:sz w:val="48"/>
      <w:szCs w:val="48"/>
    </w:rPr>
  </w:style>
  <w:style w:type="table" w:customStyle="1" w:styleId="25">
    <w:name w:val="TableNormal"/>
    <w:semiHidden/>
    <w:qFormat/>
    <w:uiPriority w:val="0"/>
    <w:tblPr>
      <w:tblCellMar>
        <w:top w:w="0" w:type="dxa"/>
        <w:left w:w="0" w:type="dxa"/>
        <w:bottom w:w="0" w:type="dxa"/>
        <w:right w:w="0" w:type="dxa"/>
      </w:tblCellMar>
    </w:tblPr>
  </w:style>
  <w:style w:type="paragraph" w:customStyle="1" w:styleId="26">
    <w:name w:val="Acetate"/>
    <w:basedOn w:val="1"/>
    <w:qFormat/>
    <w:uiPriority w:val="0"/>
    <w:rPr>
      <w:sz w:val="18"/>
      <w:szCs w:val="18"/>
    </w:rPr>
  </w:style>
  <w:style w:type="paragraph" w:customStyle="1" w:styleId="27">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28">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29">
    <w:name w:val="UserStyle_2"/>
    <w:basedOn w:val="1"/>
    <w:qFormat/>
    <w:uiPriority w:val="0"/>
    <w:pPr>
      <w:spacing w:before="100" w:beforeAutospacing="1" w:after="100" w:afterAutospacing="1"/>
      <w:jc w:val="left"/>
    </w:pPr>
    <w:rPr>
      <w:rFonts w:ascii="宋体" w:hAnsi="宋体"/>
      <w:kern w:val="0"/>
      <w:sz w:val="24"/>
    </w:rPr>
  </w:style>
  <w:style w:type="character" w:customStyle="1" w:styleId="30">
    <w:name w:val="UserStyle_3"/>
    <w:basedOn w:val="20"/>
    <w:link w:val="24"/>
    <w:qFormat/>
    <w:uiPriority w:val="0"/>
    <w:rPr>
      <w:rFonts w:ascii="宋体" w:hAnsi="宋体" w:cs="宋体"/>
      <w:b/>
      <w:bCs/>
      <w:kern w:val="36"/>
      <w:sz w:val="48"/>
      <w:szCs w:val="48"/>
    </w:rPr>
  </w:style>
  <w:style w:type="character" w:customStyle="1" w:styleId="31">
    <w:name w:val="UserStyle_4"/>
    <w:basedOn w:val="20"/>
    <w:qFormat/>
    <w:uiPriority w:val="0"/>
  </w:style>
  <w:style w:type="paragraph" w:customStyle="1" w:styleId="32">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33">
    <w:name w:val="页脚 Char"/>
    <w:basedOn w:val="17"/>
    <w:link w:val="11"/>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307</Words>
  <Characters>1751</Characters>
  <Lines>14</Lines>
  <Paragraphs>4</Paragraphs>
  <TotalTime>2</TotalTime>
  <ScaleCrop>false</ScaleCrop>
  <LinksUpToDate>false</LinksUpToDate>
  <CharactersWithSpaces>2054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2022-01-07T03:13:00Z</cp:lastPrinted>
  <dcterms:modified xsi:type="dcterms:W3CDTF">2022-01-07T09:24:33Z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0BEFFA9D6DA34548976C4312CA596319</vt:lpwstr>
  </property>
</Properties>
</file>