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600" w:lineRule="exact"/>
        <w:jc w:val="center"/>
        <w:rPr>
          <w:rStyle w:val="12"/>
          <w:rFonts w:ascii="黑体" w:eastAsia="黑体"/>
          <w:sz w:val="44"/>
          <w:szCs w:val="44"/>
        </w:rPr>
      </w:pPr>
      <w:r>
        <w:rPr>
          <w:rStyle w:val="10"/>
          <w:rFonts w:ascii="黑体" w:eastAsia="黑体" w:cs="宋体"/>
          <w:sz w:val="44"/>
          <w:szCs w:val="44"/>
        </w:rPr>
        <w:t>中国人民政治协商会议</w:t>
      </w:r>
    </w:p>
    <w:p>
      <w:pPr>
        <w:pStyle w:val="16"/>
        <w:spacing w:before="0" w:beforeAutospacing="0" w:after="0" w:afterAutospacing="0" w:line="600" w:lineRule="exact"/>
        <w:jc w:val="center"/>
        <w:rPr>
          <w:rStyle w:val="12"/>
          <w:rFonts w:hint="eastAsia"/>
          <w:sz w:val="44"/>
          <w:szCs w:val="44"/>
        </w:rPr>
      </w:pPr>
      <w:r>
        <w:rPr>
          <w:rStyle w:val="12"/>
          <w:sz w:val="44"/>
          <w:szCs w:val="44"/>
        </w:rPr>
        <w:t>黔东南苗族侗族自治州委员会</w:t>
      </w:r>
    </w:p>
    <w:p>
      <w:pPr>
        <w:pStyle w:val="16"/>
        <w:spacing w:before="0" w:beforeAutospacing="0" w:after="0" w:afterAutospacing="0" w:line="600" w:lineRule="exact"/>
        <w:jc w:val="center"/>
        <w:rPr>
          <w:rStyle w:val="12"/>
          <w:rFonts w:hint="eastAsia"/>
          <w:sz w:val="44"/>
          <w:szCs w:val="44"/>
        </w:rPr>
      </w:pPr>
      <w:r>
        <w:rPr>
          <w:rStyle w:val="12"/>
          <w:sz w:val="44"/>
          <w:szCs w:val="44"/>
        </w:rPr>
        <w:t>提</w:t>
      </w:r>
      <w:r>
        <w:rPr>
          <w:rStyle w:val="12"/>
          <w:rFonts w:hint="eastAsia"/>
          <w:sz w:val="44"/>
          <w:szCs w:val="44"/>
        </w:rPr>
        <w:t xml:space="preserve">   </w:t>
      </w:r>
      <w:r>
        <w:rPr>
          <w:rStyle w:val="12"/>
          <w:sz w:val="44"/>
          <w:szCs w:val="44"/>
        </w:rPr>
        <w:t>案</w:t>
      </w:r>
    </w:p>
    <w:p>
      <w:pPr>
        <w:spacing w:line="320" w:lineRule="exact"/>
        <w:jc w:val="center"/>
        <w:textAlignment w:val="top"/>
        <w:rPr>
          <w:rStyle w:val="12"/>
          <w:rFonts w:hint="eastAsia" w:ascii="宋体" w:hAnsi="宋体"/>
          <w:kern w:val="0"/>
          <w:sz w:val="24"/>
        </w:rPr>
      </w:pPr>
    </w:p>
    <w:p>
      <w:pPr>
        <w:spacing w:line="320" w:lineRule="exact"/>
        <w:jc w:val="center"/>
        <w:textAlignment w:val="top"/>
        <w:rPr>
          <w:rStyle w:val="12"/>
          <w:rFonts w:hint="eastAsia" w:ascii="宋体" w:hAnsi="宋体"/>
          <w:kern w:val="0"/>
          <w:sz w:val="24"/>
        </w:rPr>
      </w:pPr>
    </w:p>
    <w:p>
      <w:pPr>
        <w:spacing w:line="760" w:lineRule="exact"/>
        <w:jc w:val="both"/>
        <w:textAlignment w:val="top"/>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2"/>
          <w:rFonts w:hint="default" w:ascii="宋体" w:hAnsi="宋体" w:eastAsia="宋体"/>
          <w:kern w:val="0"/>
          <w:sz w:val="24"/>
          <w:lang w:val="en-US" w:eastAsia="zh-CN"/>
        </w:rPr>
      </w:pPr>
      <w:r>
        <w:rPr>
          <w:rStyle w:val="12"/>
          <w:rFonts w:ascii="宋体" w:hAnsi="宋体"/>
          <w:kern w:val="0"/>
          <w:sz w:val="24"/>
        </w:rPr>
        <w:t>第十</w:t>
      </w:r>
      <w:r>
        <w:rPr>
          <w:rStyle w:val="12"/>
          <w:rFonts w:hint="eastAsia" w:ascii="宋体" w:hAnsi="宋体"/>
          <w:kern w:val="0"/>
          <w:sz w:val="24"/>
          <w:lang w:val="en-US" w:eastAsia="zh-CN"/>
        </w:rPr>
        <w:t>三</w:t>
      </w:r>
      <w:r>
        <w:rPr>
          <w:rStyle w:val="12"/>
          <w:rFonts w:ascii="宋体" w:hAnsi="宋体"/>
          <w:kern w:val="0"/>
          <w:sz w:val="24"/>
        </w:rPr>
        <w:t>届第</w:t>
      </w:r>
      <w:r>
        <w:rPr>
          <w:rStyle w:val="12"/>
          <w:rFonts w:hint="eastAsia" w:ascii="宋体" w:hAnsi="宋体"/>
          <w:kern w:val="0"/>
          <w:sz w:val="24"/>
          <w:lang w:val="en-US" w:eastAsia="zh-CN"/>
        </w:rPr>
        <w:t>一</w:t>
      </w:r>
      <w:r>
        <w:rPr>
          <w:rStyle w:val="12"/>
          <w:rFonts w:ascii="宋体" w:hAnsi="宋体"/>
          <w:kern w:val="0"/>
          <w:sz w:val="24"/>
        </w:rPr>
        <w:t>次会议　       　第</w:t>
      </w:r>
      <w:r>
        <w:rPr>
          <w:rStyle w:val="12"/>
          <w:rFonts w:hint="eastAsia" w:ascii="宋体" w:hAnsi="宋体"/>
          <w:kern w:val="0"/>
          <w:sz w:val="24"/>
          <w:lang w:val="en-US" w:eastAsia="zh-CN"/>
        </w:rPr>
        <w:t>185</w:t>
      </w:r>
      <w:r>
        <w:rPr>
          <w:rStyle w:val="12"/>
          <w:rFonts w:ascii="宋体" w:hAnsi="宋体"/>
          <w:kern w:val="0"/>
          <w:sz w:val="24"/>
        </w:rPr>
        <w:t xml:space="preserve">号　    </w:t>
      </w:r>
      <w:r>
        <w:rPr>
          <w:rStyle w:val="12"/>
          <w:rFonts w:hint="eastAsia" w:ascii="宋体" w:hAnsi="宋体"/>
          <w:kern w:val="0"/>
          <w:sz w:val="24"/>
        </w:rPr>
        <w:t xml:space="preserve">    </w:t>
      </w:r>
      <w:r>
        <w:rPr>
          <w:rStyle w:val="12"/>
          <w:rFonts w:hint="eastAsia" w:ascii="宋体" w:hAnsi="宋体"/>
          <w:kern w:val="0"/>
          <w:sz w:val="24"/>
          <w:lang w:val="en-US" w:eastAsia="zh-CN"/>
        </w:rPr>
        <w:t xml:space="preserve"> 类别：社会建设类     </w:t>
      </w:r>
    </w:p>
    <w:p>
      <w:pPr>
        <w:spacing w:line="320" w:lineRule="exact"/>
        <w:jc w:val="left"/>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8"/>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案</w:t>
            </w:r>
            <w:r>
              <w:rPr>
                <w:rStyle w:val="12"/>
                <w:rFonts w:ascii="宋体" w:hAnsi="宋体" w:eastAsia="黑体" w:cs="宋体"/>
                <w:b/>
                <w:bCs/>
                <w:kern w:val="0"/>
                <w:sz w:val="24"/>
              </w:rPr>
              <w:t>  </w:t>
            </w:r>
            <w:r>
              <w:rPr>
                <w:rStyle w:val="12"/>
                <w:rFonts w:ascii="黑体" w:hAnsi="宋体" w:eastAsia="黑体" w:cs="宋体"/>
                <w:b/>
                <w:bCs/>
                <w:kern w:val="0"/>
                <w:sz w:val="24"/>
              </w:rPr>
              <w:t>由</w:t>
            </w:r>
            <w:r>
              <w:rPr>
                <w:rStyle w:val="12"/>
                <w:rFonts w:ascii="宋体" w:hAnsi="宋体" w:cs="宋体"/>
                <w:b/>
                <w:bCs/>
                <w:kern w:val="0"/>
                <w:sz w:val="24"/>
              </w:rPr>
              <w:t>：</w:t>
            </w:r>
          </w:p>
        </w:tc>
        <w:tc>
          <w:tcPr>
            <w:tcW w:w="6797" w:type="dxa"/>
            <w:gridSpan w:val="3"/>
            <w:vAlign w:val="center"/>
          </w:tcPr>
          <w:p>
            <w:pPr>
              <w:jc w:val="left"/>
              <w:rPr>
                <w:rStyle w:val="12"/>
                <w:rFonts w:ascii="宋体" w:hAnsi="宋体" w:cs="宋体"/>
                <w:b/>
                <w:bCs/>
                <w:kern w:val="0"/>
                <w:sz w:val="24"/>
              </w:rPr>
            </w:pPr>
            <w:r>
              <w:rPr>
                <w:rStyle w:val="12"/>
                <w:rFonts w:hint="eastAsia" w:ascii="宋体" w:hAnsi="宋体" w:cs="宋体"/>
                <w:b/>
                <w:bCs/>
                <w:kern w:val="0"/>
                <w:sz w:val="24"/>
              </w:rPr>
              <w:t>关于在全州推行管道直饮水的建议</w:t>
            </w:r>
          </w:p>
        </w:tc>
      </w:tr>
      <w:tr>
        <w:tblPrEx>
          <w:tblCellMar>
            <w:top w:w="0" w:type="dxa"/>
            <w:left w:w="15" w:type="dxa"/>
            <w:bottom w:w="0" w:type="dxa"/>
            <w:right w:w="15" w:type="dxa"/>
          </w:tblCellMar>
        </w:tblPrEx>
        <w:tc>
          <w:tcPr>
            <w:tcW w:w="1753" w:type="dxa"/>
            <w:vAlign w:val="center"/>
          </w:tcPr>
          <w:p>
            <w:pPr>
              <w:jc w:val="left"/>
              <w:rPr>
                <w:rStyle w:val="12"/>
                <w:rFonts w:ascii="宋体" w:hAnsi="宋体"/>
                <w:kern w:val="0"/>
                <w:sz w:val="24"/>
              </w:rPr>
            </w:pPr>
            <w:r>
              <w:rPr>
                <w:rStyle w:val="12"/>
                <w:rFonts w:ascii="黑体" w:hAnsi="宋体" w:eastAsia="黑体" w:cs="宋体"/>
                <w:b/>
                <w:bCs/>
                <w:kern w:val="0"/>
                <w:sz w:val="24"/>
              </w:rPr>
              <w:t>审查意见</w:t>
            </w:r>
            <w:r>
              <w:rPr>
                <w:rStyle w:val="12"/>
                <w:rFonts w:ascii="宋体" w:hAnsi="宋体" w:cs="宋体"/>
                <w:b/>
                <w:bCs/>
                <w:kern w:val="0"/>
                <w:sz w:val="24"/>
              </w:rPr>
              <w:t>：</w:t>
            </w:r>
          </w:p>
        </w:tc>
        <w:tc>
          <w:tcPr>
            <w:tcW w:w="6797" w:type="dxa"/>
            <w:gridSpan w:val="3"/>
            <w:vAlign w:val="center"/>
          </w:tcPr>
          <w:p>
            <w:pPr>
              <w:jc w:val="left"/>
              <w:rPr>
                <w:rStyle w:val="12"/>
                <w:rFonts w:hint="default" w:ascii="宋体" w:hAnsi="宋体" w:eastAsia="宋体"/>
                <w:kern w:val="0"/>
                <w:sz w:val="24"/>
                <w:lang w:val="en-US" w:eastAsia="zh-CN"/>
              </w:rPr>
            </w:pPr>
            <w:r>
              <w:rPr>
                <w:rStyle w:val="12"/>
                <w:rFonts w:hint="eastAsia" w:ascii="宋体" w:hAnsi="宋体"/>
                <w:kern w:val="0"/>
                <w:sz w:val="24"/>
                <w:lang w:eastAsia="zh-CN"/>
              </w:rPr>
              <w:t>主办：</w:t>
            </w:r>
            <w:r>
              <w:rPr>
                <w:rFonts w:hint="eastAsia" w:ascii="宋体" w:hAnsi="宋体" w:cs="宋体"/>
                <w:kern w:val="0"/>
                <w:sz w:val="24"/>
              </w:rPr>
              <w:t>州</w:t>
            </w:r>
            <w:r>
              <w:rPr>
                <w:rFonts w:hint="eastAsia" w:ascii="宋体" w:hAnsi="宋体" w:cs="宋体"/>
                <w:kern w:val="0"/>
                <w:sz w:val="24"/>
                <w:lang w:eastAsia="zh-CN"/>
              </w:rPr>
              <w:t>水务</w:t>
            </w:r>
            <w:r>
              <w:rPr>
                <w:rFonts w:hint="eastAsia" w:ascii="宋体" w:hAnsi="宋体" w:cs="宋体"/>
                <w:kern w:val="0"/>
                <w:sz w:val="24"/>
              </w:rPr>
              <w:t>局</w:t>
            </w:r>
            <w:r>
              <w:rPr>
                <w:rStyle w:val="12"/>
                <w:rFonts w:hint="eastAsia" w:ascii="宋体" w:hAnsi="宋体"/>
                <w:kern w:val="0"/>
                <w:sz w:val="24"/>
                <w:lang w:val="en-US" w:eastAsia="zh-CN"/>
              </w:rPr>
              <w:t xml:space="preserve"> 会办：州发改委、州住建局</w:t>
            </w:r>
          </w:p>
        </w:tc>
      </w:tr>
      <w:tr>
        <w:tblPrEx>
          <w:tblCellMar>
            <w:top w:w="0" w:type="dxa"/>
            <w:left w:w="15" w:type="dxa"/>
            <w:bottom w:w="0" w:type="dxa"/>
            <w:right w:w="15" w:type="dxa"/>
          </w:tblCellMar>
        </w:tblPrEx>
        <w:tc>
          <w:tcPr>
            <w:tcW w:w="1753" w:type="dxa"/>
            <w:vAlign w:val="center"/>
          </w:tcPr>
          <w:p>
            <w:pPr>
              <w:jc w:val="left"/>
              <w:rPr>
                <w:rStyle w:val="12"/>
                <w:rFonts w:ascii="黑体" w:hAnsi="宋体" w:eastAsia="黑体"/>
                <w:kern w:val="0"/>
                <w:sz w:val="24"/>
              </w:rPr>
            </w:pPr>
            <w:r>
              <w:rPr>
                <w:rStyle w:val="12"/>
                <w:rFonts w:ascii="黑体" w:hAnsi="宋体" w:eastAsia="黑体" w:cs="宋体"/>
                <w:b/>
                <w:bCs/>
                <w:kern w:val="0"/>
                <w:sz w:val="24"/>
              </w:rPr>
              <w:t>提</w:t>
            </w:r>
            <w:r>
              <w:rPr>
                <w:rStyle w:val="12"/>
                <w:rFonts w:ascii="宋体" w:hAnsi="宋体" w:eastAsia="黑体" w:cs="宋体"/>
                <w:b/>
                <w:bCs/>
                <w:kern w:val="0"/>
                <w:sz w:val="24"/>
              </w:rPr>
              <w:t> </w:t>
            </w:r>
            <w:r>
              <w:rPr>
                <w:rStyle w:val="12"/>
                <w:rFonts w:ascii="黑体" w:hAnsi="宋体" w:eastAsia="黑体" w:cs="宋体"/>
                <w:b/>
                <w:bCs/>
                <w:kern w:val="0"/>
                <w:sz w:val="24"/>
              </w:rPr>
              <w:t>案人</w:t>
            </w:r>
            <w:r>
              <w:rPr>
                <w:rStyle w:val="12"/>
                <w:rFonts w:ascii="宋体" w:hAnsi="宋体" w:eastAsia="黑体" w:cs="宋体"/>
                <w:b/>
                <w:bCs/>
                <w:kern w:val="0"/>
                <w:sz w:val="24"/>
              </w:rPr>
              <w:t>：</w:t>
            </w:r>
          </w:p>
        </w:tc>
        <w:tc>
          <w:tcPr>
            <w:tcW w:w="3872" w:type="dxa"/>
            <w:vAlign w:val="center"/>
          </w:tcPr>
          <w:p>
            <w:pPr>
              <w:jc w:val="left"/>
              <w:rPr>
                <w:rStyle w:val="12"/>
                <w:rFonts w:ascii="宋体" w:hAnsi="宋体"/>
                <w:kern w:val="0"/>
                <w:sz w:val="24"/>
              </w:rPr>
            </w:pPr>
            <w:r>
              <w:rPr>
                <w:rStyle w:val="12"/>
                <w:rFonts w:ascii="宋体" w:hAnsi="宋体" w:cs="宋体"/>
                <w:b/>
                <w:bCs/>
                <w:kern w:val="0"/>
                <w:sz w:val="24"/>
                <w:highlight w:val="none"/>
              </w:rPr>
              <w:t>通讯地址</w:t>
            </w:r>
          </w:p>
        </w:tc>
        <w:tc>
          <w:tcPr>
            <w:tcW w:w="1440" w:type="dxa"/>
            <w:vAlign w:val="center"/>
          </w:tcPr>
          <w:p>
            <w:pPr>
              <w:jc w:val="left"/>
              <w:rPr>
                <w:rStyle w:val="12"/>
                <w:rFonts w:ascii="宋体" w:hAnsi="宋体"/>
                <w:kern w:val="0"/>
                <w:sz w:val="24"/>
              </w:rPr>
            </w:pPr>
            <w:r>
              <w:rPr>
                <w:rStyle w:val="12"/>
                <w:rFonts w:ascii="宋体" w:hAnsi="宋体" w:cs="宋体"/>
                <w:b/>
                <w:bCs/>
                <w:kern w:val="0"/>
                <w:sz w:val="24"/>
              </w:rPr>
              <w:t>邮政编码</w:t>
            </w:r>
          </w:p>
        </w:tc>
        <w:tc>
          <w:tcPr>
            <w:tcW w:w="1485" w:type="dxa"/>
            <w:vAlign w:val="center"/>
          </w:tcPr>
          <w:p>
            <w:pPr>
              <w:jc w:val="left"/>
              <w:rPr>
                <w:rStyle w:val="12"/>
                <w:rFonts w:ascii="宋体" w:hAnsi="宋体"/>
                <w:kern w:val="0"/>
                <w:sz w:val="24"/>
              </w:rPr>
            </w:pPr>
            <w:r>
              <w:rPr>
                <w:rStyle w:val="12"/>
                <w:rFonts w:ascii="宋体" w:hAnsi="宋体" w:cs="宋体"/>
                <w:b/>
                <w:bCs/>
                <w:kern w:val="0"/>
                <w:sz w:val="24"/>
              </w:rPr>
              <w:t>联系电话</w:t>
            </w:r>
          </w:p>
        </w:tc>
      </w:tr>
      <w:tr>
        <w:tc>
          <w:tcPr>
            <w:tcW w:w="1753" w:type="dxa"/>
            <w:vAlign w:val="center"/>
          </w:tcPr>
          <w:p>
            <w:pPr>
              <w:widowControl/>
              <w:jc w:val="left"/>
              <w:rPr>
                <w:rStyle w:val="12"/>
                <w:rFonts w:hint="eastAsia" w:ascii="宋体" w:hAnsi="宋体" w:eastAsia="宋体"/>
                <w:kern w:val="0"/>
                <w:sz w:val="24"/>
                <w:szCs w:val="22"/>
                <w:lang w:val="en-US" w:eastAsia="zh-CN"/>
              </w:rPr>
            </w:pPr>
            <w:r>
              <w:rPr>
                <w:rStyle w:val="12"/>
                <w:rFonts w:hint="eastAsia" w:ascii="宋体" w:hAnsi="宋体" w:eastAsia="宋体"/>
                <w:kern w:val="0"/>
                <w:sz w:val="24"/>
                <w:szCs w:val="22"/>
                <w:lang w:val="en-US" w:eastAsia="zh-CN"/>
              </w:rPr>
              <w:t>刘洋</w:t>
            </w:r>
          </w:p>
          <w:p>
            <w:pPr>
              <w:widowControl/>
              <w:jc w:val="left"/>
            </w:pPr>
            <w:r>
              <w:rPr>
                <w:rStyle w:val="12"/>
                <w:rFonts w:hint="default" w:ascii="宋体" w:hAnsi="宋体" w:eastAsia="宋体"/>
                <w:kern w:val="0"/>
                <w:sz w:val="24"/>
                <w:szCs w:val="22"/>
                <w:lang w:val="en-US" w:eastAsia="zh-CN"/>
              </w:rPr>
              <w:t>姜敏</w:t>
            </w:r>
          </w:p>
        </w:tc>
        <w:tc>
          <w:tcPr>
            <w:tcW w:w="3872" w:type="dxa"/>
            <w:vAlign w:val="center"/>
          </w:tcPr>
          <w:p>
            <w:pPr>
              <w:widowControl/>
              <w:jc w:val="left"/>
              <w:rPr>
                <w:rStyle w:val="12"/>
                <w:rFonts w:hint="eastAsia" w:ascii="宋体" w:hAnsi="宋体" w:eastAsia="宋体"/>
                <w:kern w:val="0"/>
                <w:sz w:val="24"/>
                <w:szCs w:val="22"/>
                <w:lang w:val="en-US" w:eastAsia="zh-CN"/>
              </w:rPr>
            </w:pPr>
            <w:r>
              <w:rPr>
                <w:rStyle w:val="12"/>
                <w:rFonts w:hint="eastAsia" w:ascii="宋体" w:hAnsi="宋体" w:eastAsia="宋体"/>
                <w:kern w:val="0"/>
                <w:sz w:val="24"/>
                <w:szCs w:val="22"/>
                <w:lang w:val="en-US" w:eastAsia="zh-CN"/>
              </w:rPr>
              <w:t>凯里市政协</w:t>
            </w:r>
          </w:p>
          <w:p>
            <w:pPr>
              <w:widowControl/>
              <w:jc w:val="left"/>
              <w:rPr>
                <w:rFonts w:hint="eastAsia"/>
                <w:lang w:val="en-US" w:eastAsia="zh-CN"/>
              </w:rPr>
            </w:pPr>
            <w:r>
              <w:rPr>
                <w:rStyle w:val="12"/>
                <w:rFonts w:hint="default" w:ascii="宋体" w:hAnsi="宋体" w:eastAsia="宋体"/>
                <w:kern w:val="0"/>
                <w:sz w:val="24"/>
                <w:szCs w:val="22"/>
                <w:lang w:val="en-US" w:eastAsia="zh-CN"/>
              </w:rPr>
              <w:t>凯里市工商联</w:t>
            </w:r>
          </w:p>
        </w:tc>
        <w:tc>
          <w:tcPr>
            <w:tcW w:w="1440" w:type="dxa"/>
            <w:vAlign w:val="center"/>
          </w:tcPr>
          <w:p>
            <w:pPr>
              <w:widowControl/>
              <w:jc w:val="left"/>
              <w:rPr>
                <w:rStyle w:val="12"/>
                <w:rFonts w:hint="default" w:ascii="宋体" w:hAnsi="宋体" w:eastAsia="宋体"/>
                <w:kern w:val="0"/>
                <w:sz w:val="24"/>
                <w:lang w:val="en-US" w:eastAsia="zh-CN"/>
              </w:rPr>
            </w:pPr>
            <w:r>
              <w:rPr>
                <w:rFonts w:hint="eastAsia" w:ascii="宋体" w:hAnsi="宋体" w:cs="宋体"/>
                <w:kern w:val="0"/>
                <w:sz w:val="24"/>
              </w:rPr>
              <w:t>556000</w:t>
            </w:r>
          </w:p>
        </w:tc>
        <w:tc>
          <w:tcPr>
            <w:tcW w:w="1485" w:type="dxa"/>
            <w:vAlign w:val="center"/>
          </w:tcPr>
          <w:p>
            <w:pPr>
              <w:widowControl/>
              <w:jc w:val="left"/>
              <w:rPr>
                <w:rStyle w:val="12"/>
                <w:rFonts w:hint="default" w:ascii="宋体" w:hAnsi="宋体" w:eastAsia="宋体"/>
                <w:kern w:val="0"/>
                <w:sz w:val="24"/>
                <w:szCs w:val="22"/>
                <w:lang w:val="en-US" w:eastAsia="zh-CN"/>
              </w:rPr>
            </w:pPr>
            <w:r>
              <w:rPr>
                <w:rFonts w:hint="default"/>
                <w:lang w:val="en-US" w:eastAsia="zh-CN"/>
              </w:rPr>
              <w:t>1</w:t>
            </w:r>
            <w:r>
              <w:rPr>
                <w:rStyle w:val="12"/>
                <w:rFonts w:hint="default" w:ascii="宋体" w:hAnsi="宋体" w:eastAsia="宋体"/>
                <w:kern w:val="0"/>
                <w:sz w:val="24"/>
                <w:szCs w:val="22"/>
                <w:lang w:val="en-US" w:eastAsia="zh-CN"/>
              </w:rPr>
              <w:t>3885522266</w:t>
            </w:r>
          </w:p>
          <w:p>
            <w:pPr>
              <w:widowControl/>
              <w:jc w:val="left"/>
              <w:rPr>
                <w:rFonts w:hint="default"/>
                <w:lang w:val="en-US" w:eastAsia="zh-CN"/>
              </w:rPr>
            </w:pPr>
            <w:r>
              <w:rPr>
                <w:rStyle w:val="12"/>
                <w:rFonts w:hint="default" w:ascii="宋体" w:hAnsi="宋体" w:eastAsia="宋体"/>
                <w:kern w:val="0"/>
                <w:sz w:val="24"/>
                <w:szCs w:val="22"/>
                <w:lang w:val="en-US" w:eastAsia="zh-CN"/>
              </w:rPr>
              <w:t>13208550021</w:t>
            </w:r>
          </w:p>
        </w:tc>
      </w:tr>
      <w:tr>
        <w:tblPrEx>
          <w:tblCellMar>
            <w:top w:w="0" w:type="dxa"/>
            <w:left w:w="15" w:type="dxa"/>
            <w:bottom w:w="0" w:type="dxa"/>
            <w:right w:w="15" w:type="dxa"/>
          </w:tblCellMar>
        </w:tblPrEx>
        <w:tc>
          <w:tcPr>
            <w:tcW w:w="1753" w:type="dxa"/>
            <w:vAlign w:val="center"/>
          </w:tcPr>
          <w:p>
            <w:pPr>
              <w:jc w:val="left"/>
              <w:rPr>
                <w:rStyle w:val="12"/>
                <w:rFonts w:hint="eastAsia" w:ascii="宋体" w:hAnsi="宋体" w:eastAsia="宋体"/>
                <w:kern w:val="0"/>
                <w:sz w:val="24"/>
                <w:lang w:eastAsia="zh-CN"/>
              </w:rPr>
            </w:pPr>
            <w:r>
              <w:rPr>
                <w:rStyle w:val="12"/>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2"/>
                <w:rFonts w:hint="eastAsia" w:ascii="宋体" w:hAnsi="宋体"/>
                <w:kern w:val="0"/>
                <w:sz w:val="24"/>
                <w:lang w:val="en-US" w:eastAsia="zh-CN"/>
              </w:rPr>
            </w:pPr>
            <w:r>
              <w:rPr>
                <w:rStyle w:val="12"/>
                <w:rFonts w:hint="eastAsia" w:ascii="宋体" w:hAnsi="宋体"/>
                <w:kern w:val="0"/>
                <w:sz w:val="24"/>
                <w:lang w:eastAsia="zh-CN"/>
              </w:rPr>
              <w:t>州委办秘书五科：</w:t>
            </w:r>
            <w:r>
              <w:rPr>
                <w:rStyle w:val="12"/>
                <w:rFonts w:hint="eastAsia" w:ascii="宋体" w:hAnsi="宋体"/>
                <w:kern w:val="0"/>
                <w:sz w:val="24"/>
                <w:lang w:val="en-US" w:eastAsia="zh-CN"/>
              </w:rPr>
              <w:t>8270060；</w:t>
            </w:r>
            <w:r>
              <w:rPr>
                <w:rStyle w:val="12"/>
                <w:rFonts w:hint="eastAsia" w:ascii="宋体" w:hAnsi="宋体"/>
                <w:kern w:val="0"/>
                <w:sz w:val="24"/>
                <w:lang w:eastAsia="zh-CN"/>
              </w:rPr>
              <w:t>州政府办建议提案科：</w:t>
            </w:r>
            <w:r>
              <w:rPr>
                <w:rStyle w:val="12"/>
                <w:rFonts w:hint="eastAsia" w:ascii="宋体" w:hAnsi="宋体"/>
                <w:kern w:val="0"/>
                <w:sz w:val="24"/>
                <w:lang w:val="en-US" w:eastAsia="zh-CN"/>
              </w:rPr>
              <w:t>8260016；</w:t>
            </w:r>
          </w:p>
          <w:p>
            <w:pPr>
              <w:jc w:val="left"/>
              <w:rPr>
                <w:rStyle w:val="12"/>
                <w:rFonts w:hint="default" w:ascii="宋体" w:hAnsi="宋体"/>
                <w:kern w:val="0"/>
                <w:sz w:val="24"/>
                <w:lang w:val="en-US"/>
              </w:rPr>
            </w:pPr>
            <w:r>
              <w:rPr>
                <w:rStyle w:val="12"/>
                <w:rFonts w:hint="eastAsia" w:ascii="宋体" w:hAnsi="宋体"/>
                <w:kern w:val="0"/>
                <w:sz w:val="24"/>
                <w:lang w:eastAsia="zh-CN"/>
              </w:rPr>
              <w:t>州政协提案委：</w:t>
            </w:r>
            <w:r>
              <w:rPr>
                <w:rStyle w:val="12"/>
                <w:rFonts w:hint="eastAsia" w:ascii="宋体" w:hAnsi="宋体"/>
                <w:kern w:val="0"/>
                <w:sz w:val="24"/>
                <w:lang w:val="en-US" w:eastAsia="zh-CN"/>
              </w:rPr>
              <w:t>8428866</w:t>
            </w:r>
            <w:r>
              <w:rPr>
                <w:rStyle w:val="12"/>
                <w:rFonts w:hint="eastAsia" w:ascii="宋体" w:hAnsi="宋体"/>
                <w:kern w:val="0"/>
                <w:sz w:val="24"/>
                <w:lang w:eastAsia="zh-CN"/>
              </w:rPr>
              <w:t>。</w:t>
            </w:r>
          </w:p>
        </w:tc>
      </w:tr>
    </w:tbl>
    <w:p>
      <w:pPr>
        <w:jc w:val="left"/>
        <w:rPr>
          <w:rStyle w:val="12"/>
          <w:rFonts w:ascii="宋体" w:hAnsi="宋体"/>
          <w:kern w:val="0"/>
          <w:sz w:val="24"/>
        </w:rPr>
      </w:pPr>
      <w:r>
        <w:rPr>
          <w:rStyle w:val="12"/>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2"/>
          <w:rFonts w:hint="eastAsia" w:ascii="仿宋_GB2312" w:hAnsi="宋体" w:eastAsia="仿宋_GB2312"/>
          <w:kern w:val="0"/>
          <w:sz w:val="32"/>
          <w:szCs w:val="32"/>
        </w:rPr>
      </w:pPr>
      <w:r>
        <w:rPr>
          <w:rStyle w:val="12"/>
          <w:rFonts w:hint="eastAsia" w:ascii="仿宋_GB2312" w:hAnsi="宋体" w:eastAsia="仿宋_GB2312"/>
          <w:kern w:val="0"/>
          <w:sz w:val="32"/>
          <w:szCs w:val="32"/>
        </w:rPr>
        <w:t>内容和办法</w:t>
      </w:r>
      <w:r>
        <w:rPr>
          <w:rStyle w:val="12"/>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水，是生命之源。水质是关系到人民身体健康的头等大事。重视饮水安全就是重视民生，维护饮水安全就是维护群众利益。各地政府近年来在供水保障上投入大量资金，但在加强饮水安全普及教育，倡导科学健康饮水还有一定不足。保证人民喝上干净的水是贯彻落实“以人民为中心”的理念、满足人民群众对美好生活的需要，是实现第二个一百年小康社会，提升群众幸福感和获得感的重要内容。</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一、城镇人口饮水现状</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城镇人口日常饮水主要采取以下方式：桶装水直接饮用或烧制后饮用、自来水烧制后饮用、极少部分则是自取井水或山泉水使用。</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农村地区，除部分使用桶装水外，其余大部分都是使用井水或山泉水。</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二、城镇家庭饮水存在的问题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自来水：自来水经自来水厂处理后，一般已达到可以直接饮用的标准，但水厂至居民家中这一传输过程，因为城市自来水管道年代久远易产生铁锈，或者自来水在管道中停留时间过长而滋生病菌等，又极易产生二次污染。同时，城区许多小区采取二次供水的方式，蓄水池未能及时消毒清洁，也使本身符合直接饮用标准的自来水二次污染。</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桶装水：桶装水一般而言需要在3天时间内饮用完毕，但实际生活中很多家庭一桶桶装水使用时间往往超过</w:t>
      </w:r>
      <w:r>
        <w:rPr>
          <w:rFonts w:hint="eastAsia" w:ascii="仿宋" w:hAnsi="仿宋" w:eastAsia="仿宋" w:cs="仿宋"/>
          <w:color w:val="333333"/>
          <w:sz w:val="32"/>
          <w:szCs w:val="32"/>
          <w:highlight w:val="none"/>
          <w:shd w:val="clear" w:color="auto" w:fill="FFFFFF"/>
          <w:lang w:val="en-US" w:eastAsia="zh-CN"/>
        </w:rPr>
        <w:t>4～5天</w:t>
      </w:r>
      <w:r>
        <w:rPr>
          <w:rFonts w:hint="eastAsia" w:ascii="仿宋" w:hAnsi="仿宋" w:eastAsia="仿宋" w:cs="仿宋"/>
          <w:color w:val="333333"/>
          <w:sz w:val="32"/>
          <w:szCs w:val="32"/>
          <w:shd w:val="clear" w:color="auto" w:fill="FFFFFF"/>
          <w:lang w:val="en-US" w:eastAsia="zh-CN"/>
        </w:rPr>
        <w:t>，水质难以得到保证；过期倒掉会造成浪费，继续饮用又易生病。另一方面饮水机长期使用后也易滋生各种病菌。此外，市场上桶装水品牌本就良莠不齐，品质难以保障。还存在叫水、等水麻烦的问题，对于只有老年人居住的家庭而言，换水成了老年人的一大难题，同时也存在安全隐患。</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三、在全州推行管道直饮水的优势</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管道直饮水是“管道优质直接饮用水”的简称，它是按照“按需处理、分质供水、优水优用”的理念，在居住小区、校园、酒店、写字楼等公共区域内设置净水设备，运用现代高科技技术，对自来水、地表（地下）水进行深度净化处理，进一步提高水质，去除水中有机物、细菌、病毒等有害物质，并保留对人体有益的微量元素和矿物质；同时在原有的自来水管道系统上，再增设一条独立的循环式优质供水管道，将净化后的优质水送至通过独立封闭的循环管网送入用户家中、办公区域、商业中心、酒店客房等，供人们打开水龙头就可以直接饮用。</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管道直饮水系统拥有独立的管网系统，即</w:t>
      </w:r>
      <w:r>
        <w:rPr>
          <w:rFonts w:hint="eastAsia" w:ascii="仿宋" w:hAnsi="仿宋" w:eastAsia="仿宋" w:cs="仿宋"/>
          <w:color w:val="333333"/>
          <w:sz w:val="32"/>
          <w:szCs w:val="32"/>
          <w:highlight w:val="none"/>
          <w:shd w:val="clear" w:color="auto" w:fill="FFFFFF"/>
          <w:lang w:val="en-US" w:eastAsia="zh-CN"/>
        </w:rPr>
        <w:t>产即</w:t>
      </w:r>
      <w:r>
        <w:rPr>
          <w:rFonts w:hint="eastAsia" w:ascii="仿宋" w:hAnsi="仿宋" w:eastAsia="仿宋" w:cs="仿宋"/>
          <w:color w:val="333333"/>
          <w:sz w:val="32"/>
          <w:szCs w:val="32"/>
          <w:shd w:val="clear" w:color="auto" w:fill="FFFFFF"/>
          <w:lang w:val="en-US" w:eastAsia="zh-CN"/>
        </w:rPr>
        <w:t>用，杜绝了自来水、桶装水在输送储存过程中的二次污染问题，且管道直饮水价格介于自来水、桶装水、瓶装水价格之间，具有很大的价格优势，市场上出售的桶装水约为0.7元/升，而管道直饮水价格也仅只有0.3元/升左右，由于饮用的绝对量较小，对于家庭来说，使用管道直饮水不会造成经济负担，能够得到城市居民家庭的接受。管道直饮水目前已经成为提升居民饮水品质的一大趋势，湖南、江西、包头等地已经完成部分居民小区管道直饮水工程，北京、厦门、福州、济南、乌鲁木齐等一些城市管道直饮水工程也在积极建设之中。</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同时，推进城市分质供水，推动管道直饮水入户普及，实现饮、用水分开，是对自来水的服务升级，是供水行业供给侧改革的有益尝试。管道直饮水有效解决了自来水管网系统二次污染和管网系统不循环的问题；保留了原有的自来水供应设施，减少了水厂升级、城市管网全面改造等大规模建设；水资源循环利用，集中生产方式节能低碳，管道输送方式杜绝白色污染，用水方式安全、方便，普惠性强，既满足了人民群众不断提高的生活需求，也提升了城市的现代化水平。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学习经验、打造试点。学习湖南宁乡、江西高安等地在城市管道直饮水建设中的先进经验，把推行城市管道直饮水工程建设作为“十四五”期间城市建设的一项重要内容进行规划部署，提升城市品质；以机关楼宇、医院、学校、旅游景区等公共场所为试点，先行先试，逐步带动居民小区推进管道直饮水工程建设。</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分类分级、扩大覆盖面。新建楼盘或小区，以及新建公共设施，将管道直饮水设施与自来水设施相衔接，同步设计、同步施工、同步验收，避免重复建设；在建项目，符合条件的应及时补充完善管道直饮水设计，同步配套建设；已建项目，将管道直饮水纳入老旧小区改造范围，其他的积极引导、支持业主开展管道直饮水建设。力争2022年启动部分新建</w:t>
      </w:r>
      <w:r>
        <w:rPr>
          <w:rFonts w:hint="eastAsia" w:ascii="仿宋" w:hAnsi="仿宋" w:eastAsia="仿宋" w:cs="仿宋"/>
          <w:color w:val="333333"/>
          <w:sz w:val="32"/>
          <w:szCs w:val="32"/>
          <w:highlight w:val="none"/>
          <w:shd w:val="clear" w:color="auto" w:fill="FFFFFF"/>
          <w:lang w:val="en-US" w:eastAsia="zh-CN"/>
        </w:rPr>
        <w:t>（</w:t>
      </w:r>
      <w:r>
        <w:rPr>
          <w:rFonts w:hint="eastAsia" w:ascii="仿宋" w:hAnsi="仿宋" w:eastAsia="仿宋" w:cs="仿宋"/>
          <w:color w:val="333333"/>
          <w:sz w:val="32"/>
          <w:szCs w:val="32"/>
          <w:shd w:val="clear" w:color="auto" w:fill="FFFFFF"/>
          <w:lang w:val="en-US" w:eastAsia="zh-CN"/>
        </w:rPr>
        <w:t>包括在建</w:t>
      </w:r>
      <w:r>
        <w:rPr>
          <w:rFonts w:hint="eastAsia" w:ascii="仿宋" w:hAnsi="仿宋" w:eastAsia="仿宋" w:cs="仿宋"/>
          <w:color w:val="333333"/>
          <w:sz w:val="32"/>
          <w:szCs w:val="32"/>
          <w:highlight w:val="none"/>
          <w:shd w:val="clear" w:color="auto" w:fill="FFFFFF"/>
          <w:lang w:val="en-US" w:eastAsia="zh-CN"/>
        </w:rPr>
        <w:t>）</w:t>
      </w:r>
      <w:r>
        <w:rPr>
          <w:rFonts w:hint="eastAsia" w:ascii="仿宋" w:hAnsi="仿宋" w:eastAsia="仿宋" w:cs="仿宋"/>
          <w:color w:val="333333"/>
          <w:sz w:val="32"/>
          <w:szCs w:val="32"/>
          <w:shd w:val="clear" w:color="auto" w:fill="FFFFFF"/>
          <w:lang w:val="en-US" w:eastAsia="zh-CN"/>
        </w:rPr>
        <w:t>学校、医院、住宅、商业及重要公共场所配套管道直饮水建设，2023年实现既有行政机关办公楼、住宅、商业学校及医院等公共建筑管道直饮水全覆盖，2024年实现老旧小区管道直饮水改造全覆盖，“十四五”收官城区管道直饮水覆盖率达到50%以上，并适时向有条件的农村地区村民聚居地推广。</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面向市场、普惠人民。管道直饮水是一项民生工程，其建设管理工作应坚持政府引导、企业实施、市场定价、用户自愿、有偿使用的原则，纳入城乡公共事业管理。建议引入管道直饮水专业集团投资企业，充分具备在全市范围内建设运营管道直饮水项目的能力，在公共场所（学校、医院、机关办公楼、景区景点、车站等）投资建设管道直饮水设施；其他新建项目（如商住楼盘等）由开发建设单位直接投资建设，建成后可提升其楼盘品质等，在销售过程中回收投资建设成本；已建居民小区等愿意进行直饮水设施建设的，建议由业主协商解决建设费用，同时财政给予一定的支持。同时，建设和管理运营由管道直饮水企业负责，过程中由发改部门核定最高指导性销售价格。</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加强监管、确保运维服务。加强管道直饮水项目的后续运维与服务。相关管理部门负责对管道直饮水项目运维与服务进行监管，把握行业发展的趋势和市场发展的方向，出台相关政策要求，加强对直饮水运营企业的监管和指导，对管道直饮水设备及设施运行状态开展经常性检查，及时发现设备管理和运行中存在的问题，并提出整改意见，监督用户投诉，处理违规行为。直饮水运营企业对设备运维、用户服务、产品质量、水质安全负责，通过合理的水费收入实现服务回报。</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五、强化水质监管、确保安全健康。</w:t>
      </w:r>
      <w:bookmarkStart w:id="0" w:name="_GoBack"/>
      <w:r>
        <w:rPr>
          <w:rFonts w:hint="eastAsia" w:ascii="仿宋" w:hAnsi="仿宋" w:eastAsia="仿宋" w:cs="仿宋"/>
          <w:color w:val="333333"/>
          <w:sz w:val="32"/>
          <w:szCs w:val="32"/>
          <w:highlight w:val="none"/>
          <w:shd w:val="clear" w:color="auto" w:fill="FFFFFF"/>
          <w:lang w:val="en-US" w:eastAsia="zh-CN"/>
        </w:rPr>
        <w:t>住建部</w:t>
      </w:r>
      <w:bookmarkEnd w:id="0"/>
      <w:r>
        <w:rPr>
          <w:rFonts w:hint="eastAsia" w:ascii="仿宋" w:hAnsi="仿宋" w:eastAsia="仿宋" w:cs="仿宋"/>
          <w:color w:val="333333"/>
          <w:sz w:val="32"/>
          <w:szCs w:val="32"/>
          <w:shd w:val="clear" w:color="auto" w:fill="FFFFFF"/>
          <w:lang w:val="en-US" w:eastAsia="zh-CN"/>
        </w:rPr>
        <w:t>门会同水务、卫健、市监等部门按照各自职责，切实强化分质供水的水质管理与监督，管道直饮水项目按要求取得卫生许可批件，卫健部门应参照国家《建筑与小区管道直饮水系统技术规程》建立直饮水水质定期检测和抽检制度，严把水质安全关。直饮水运营单位严格按照国家《饮用净水水质标准》的水质要求，定期或不定期开展水质检测，引入第三方检测机构或在线水质监测系统对水质进行检测，检测结果应及时向社会公布。</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2"/>
          <w:rFonts w:hint="eastAsia" w:ascii="仿宋" w:hAnsi="仿宋" w:eastAsia="仿宋" w:cs="仿宋"/>
          <w:kern w:val="0"/>
          <w:sz w:val="32"/>
          <w:szCs w:val="32"/>
          <w:lang w:val="en-US" w:eastAsia="zh-CN"/>
        </w:rPr>
      </w:pPr>
      <w:r>
        <w:rPr>
          <w:rStyle w:val="12"/>
          <w:rFonts w:hint="eastAsia" w:ascii="黑体" w:hAnsi="黑体" w:eastAsia="黑体" w:cs="黑体"/>
          <w:b/>
          <w:bCs/>
          <w:kern w:val="0"/>
          <w:sz w:val="32"/>
          <w:szCs w:val="32"/>
          <w:lang w:val="en-US" w:eastAsia="zh-CN"/>
        </w:rPr>
        <w:t>注：</w:t>
      </w:r>
      <w:r>
        <w:rPr>
          <w:rStyle w:val="12"/>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2"/>
          <w:rFonts w:hint="default" w:ascii="仿宋" w:hAnsi="仿宋" w:eastAsia="仿宋" w:cs="仿宋"/>
          <w:kern w:val="0"/>
          <w:sz w:val="32"/>
          <w:szCs w:val="32"/>
          <w:lang w:val="en-US" w:eastAsia="zh-CN"/>
        </w:rPr>
      </w:pPr>
      <w:r>
        <w:rPr>
          <w:rStyle w:val="12"/>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Style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CFE2127"/>
    <w:rsid w:val="10B40BCC"/>
    <w:rsid w:val="10F40BE4"/>
    <w:rsid w:val="118823F2"/>
    <w:rsid w:val="14FB1B14"/>
    <w:rsid w:val="169647CD"/>
    <w:rsid w:val="18EC1E64"/>
    <w:rsid w:val="1A917DD9"/>
    <w:rsid w:val="1BAB45FA"/>
    <w:rsid w:val="1C3D0309"/>
    <w:rsid w:val="20790890"/>
    <w:rsid w:val="21EA0B57"/>
    <w:rsid w:val="255649A8"/>
    <w:rsid w:val="278B5D37"/>
    <w:rsid w:val="29EB237C"/>
    <w:rsid w:val="2E26699A"/>
    <w:rsid w:val="2FD84B80"/>
    <w:rsid w:val="30B878C9"/>
    <w:rsid w:val="33552650"/>
    <w:rsid w:val="377737A4"/>
    <w:rsid w:val="38512AAE"/>
    <w:rsid w:val="38D60616"/>
    <w:rsid w:val="38E6072A"/>
    <w:rsid w:val="3A7B4D73"/>
    <w:rsid w:val="3F1A5C90"/>
    <w:rsid w:val="42F10C9F"/>
    <w:rsid w:val="43953D03"/>
    <w:rsid w:val="470F7444"/>
    <w:rsid w:val="4A196944"/>
    <w:rsid w:val="4E0963F8"/>
    <w:rsid w:val="4F6B5D70"/>
    <w:rsid w:val="507F065A"/>
    <w:rsid w:val="51B406C1"/>
    <w:rsid w:val="52263247"/>
    <w:rsid w:val="5236789E"/>
    <w:rsid w:val="559F1A55"/>
    <w:rsid w:val="58167D2D"/>
    <w:rsid w:val="5902530C"/>
    <w:rsid w:val="5A7C34BF"/>
    <w:rsid w:val="5AA17385"/>
    <w:rsid w:val="5B55151A"/>
    <w:rsid w:val="5B564800"/>
    <w:rsid w:val="5B7C24C8"/>
    <w:rsid w:val="5C342431"/>
    <w:rsid w:val="5F1D4C21"/>
    <w:rsid w:val="5FDA608F"/>
    <w:rsid w:val="617E5CD0"/>
    <w:rsid w:val="61895CCF"/>
    <w:rsid w:val="61C325AD"/>
    <w:rsid w:val="62384D4B"/>
    <w:rsid w:val="64010D57"/>
    <w:rsid w:val="66F35DD9"/>
    <w:rsid w:val="6854075C"/>
    <w:rsid w:val="69A37ABB"/>
    <w:rsid w:val="6A9524E1"/>
    <w:rsid w:val="6AA44A20"/>
    <w:rsid w:val="73746A5F"/>
    <w:rsid w:val="75E22452"/>
    <w:rsid w:val="77DC05AA"/>
    <w:rsid w:val="7AF667DD"/>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pPr>
  </w:style>
  <w:style w:type="paragraph" w:customStyle="1" w:styleId="3">
    <w:name w:val="正文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Normal (Web)"/>
    <w:basedOn w:val="1"/>
    <w:next w:val="5"/>
    <w:qFormat/>
    <w:uiPriority w:val="0"/>
    <w:pPr>
      <w:spacing w:beforeAutospacing="1" w:afterAutospacing="1"/>
      <w:jc w:val="left"/>
    </w:pPr>
    <w:rPr>
      <w:kern w:val="0"/>
      <w:sz w:val="24"/>
    </w:rPr>
  </w:style>
  <w:style w:type="paragraph" w:styleId="5">
    <w:name w:val="index 9"/>
    <w:next w:val="1"/>
    <w:qFormat/>
    <w:uiPriority w:val="0"/>
    <w:pPr>
      <w:widowControl w:val="0"/>
      <w:ind w:left="1600" w:leftChars="1600"/>
      <w:jc w:val="both"/>
    </w:pPr>
    <w:rPr>
      <w:rFonts w:ascii="Times New Roman" w:hAnsi="Times New Roman" w:eastAsia="宋体" w:cs="Times New Roman"/>
      <w:kern w:val="2"/>
      <w:sz w:val="21"/>
      <w:szCs w:val="24"/>
      <w:lang w:val="en-US" w:eastAsia="zh-CN" w:bidi="ar-SA"/>
    </w:rPr>
  </w:style>
  <w:style w:type="paragraph" w:styleId="6">
    <w:name w:val="footer"/>
    <w:basedOn w:val="1"/>
    <w:link w:val="22"/>
    <w:qFormat/>
    <w:uiPriority w:val="99"/>
    <w:pPr>
      <w:snapToGrid w:val="0"/>
      <w:jc w:val="left"/>
    </w:pPr>
    <w:rPr>
      <w:sz w:val="18"/>
      <w:szCs w:val="18"/>
    </w:rPr>
  </w:style>
  <w:style w:type="paragraph" w:styleId="7">
    <w:name w:val="header"/>
    <w:basedOn w:val="1"/>
    <w:qFormat/>
    <w:uiPriority w:val="0"/>
    <w:pPr>
      <w:pBdr>
        <w:bottom w:val="single" w:color="000000" w:sz="6" w:space="0"/>
      </w:pBdr>
      <w:snapToGrid w:val="0"/>
      <w:jc w:val="center"/>
    </w:pPr>
    <w:rPr>
      <w:sz w:val="18"/>
      <w:szCs w:val="18"/>
    </w:rPr>
  </w:style>
  <w:style w:type="character" w:styleId="10">
    <w:name w:val="Strong"/>
    <w:qFormat/>
    <w:uiPriority w:val="0"/>
    <w:rPr>
      <w:rFonts w:cs="Times New Roman"/>
      <w:b/>
      <w:bCs/>
    </w:rPr>
  </w:style>
  <w:style w:type="character" w:styleId="11">
    <w:name w:val="Hyperlink"/>
    <w:basedOn w:val="12"/>
    <w:semiHidden/>
    <w:qFormat/>
    <w:uiPriority w:val="0"/>
    <w:rPr>
      <w:color w:val="0000FF"/>
      <w:u w:val="single"/>
    </w:rPr>
  </w:style>
  <w:style w:type="character" w:customStyle="1" w:styleId="12">
    <w:name w:val="NormalCharacter"/>
    <w:semiHidden/>
    <w:qFormat/>
    <w:uiPriority w:val="0"/>
  </w:style>
  <w:style w:type="paragraph" w:customStyle="1" w:styleId="13">
    <w:name w:val="Heading1"/>
    <w:basedOn w:val="1"/>
    <w:link w:val="19"/>
    <w:qFormat/>
    <w:uiPriority w:val="0"/>
    <w:pPr>
      <w:spacing w:before="100" w:beforeAutospacing="1" w:after="100" w:afterAutospacing="1"/>
      <w:jc w:val="left"/>
    </w:pPr>
    <w:rPr>
      <w:rFonts w:ascii="宋体" w:hAnsi="宋体" w:cs="宋体"/>
      <w:b/>
      <w:bCs/>
      <w:kern w:val="36"/>
      <w:sz w:val="48"/>
      <w:szCs w:val="48"/>
    </w:rPr>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8">
    <w:name w:val="UserStyle_2"/>
    <w:basedOn w:val="1"/>
    <w:qFormat/>
    <w:uiPriority w:val="0"/>
    <w:pPr>
      <w:spacing w:before="100" w:beforeAutospacing="1" w:after="100" w:afterAutospacing="1"/>
      <w:jc w:val="left"/>
    </w:pPr>
    <w:rPr>
      <w:rFonts w:ascii="宋体" w:hAnsi="宋体"/>
      <w:kern w:val="0"/>
      <w:sz w:val="24"/>
    </w:rPr>
  </w:style>
  <w:style w:type="character" w:customStyle="1" w:styleId="19">
    <w:name w:val="UserStyle_3"/>
    <w:basedOn w:val="12"/>
    <w:link w:val="13"/>
    <w:qFormat/>
    <w:uiPriority w:val="0"/>
    <w:rPr>
      <w:rFonts w:ascii="宋体" w:hAnsi="宋体" w:cs="宋体"/>
      <w:b/>
      <w:bCs/>
      <w:kern w:val="36"/>
      <w:sz w:val="48"/>
      <w:szCs w:val="48"/>
    </w:rPr>
  </w:style>
  <w:style w:type="character" w:customStyle="1" w:styleId="20">
    <w:name w:val="UserStyle_4"/>
    <w:basedOn w:val="12"/>
    <w:qFormat/>
    <w:uiPriority w:val="0"/>
  </w:style>
  <w:style w:type="paragraph" w:customStyle="1" w:styleId="2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2">
    <w:name w:val="页脚 Char"/>
    <w:basedOn w:val="9"/>
    <w:link w:val="6"/>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2</TotalTime>
  <ScaleCrop>false</ScaleCrop>
  <LinksUpToDate>false</LinksUpToDate>
  <CharactersWithSpaces>2054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2022-01-05T04:05:02Z</cp:lastPrinted>
  <dcterms:modified xsi:type="dcterms:W3CDTF">2022-01-06T06:50:29Z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0BEFFA9D6DA34548976C4312CA596319</vt:lpwstr>
  </property>
</Properties>
</file>